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8D1A" w14:textId="255893CA" w:rsidR="00AE06FA" w:rsidRDefault="006409C6" w:rsidP="006409C6">
      <w:pPr>
        <w:pStyle w:val="EinfAbs"/>
        <w:ind w:left="70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RADDOPPIA AD</w:t>
      </w:r>
      <w:r w:rsidR="009C56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arco (TN)</w:t>
      </w:r>
    </w:p>
    <w:p w14:paraId="1F072E0B" w14:textId="69448E63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9C56BF">
        <w:rPr>
          <w:rFonts w:asciiTheme="minorHAnsi" w:hAnsiTheme="minorHAnsi" w:cstheme="minorHAnsi"/>
          <w:bCs/>
          <w:i/>
          <w:sz w:val="28"/>
          <w:szCs w:val="28"/>
          <w:lang w:val="it-IT"/>
        </w:rPr>
        <w:t>8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7630A2D2" w:rsidR="00BB6F79" w:rsidRPr="0071422D" w:rsidRDefault="001A1392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 anche altre due nuove aperture a Porto Empedocle (AG) e Pozzallo (RG)</w:t>
      </w:r>
    </w:p>
    <w:p w14:paraId="0AEF9953" w14:textId="75CCD547" w:rsidR="00AA65C6" w:rsidRDefault="009C56BF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Arco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TN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6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consolida la propria presenza sul territorio nazionale inaugurando oggi </w:t>
      </w:r>
      <w:r w:rsidR="006D757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6D757C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store</w:t>
      </w:r>
      <w:r w:rsid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ad </w:t>
      </w:r>
      <w:r w:rsidR="006D757C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Arco (TN), Porto Empedocle (AG) e Pozzallo (RG)</w:t>
      </w:r>
      <w:r w:rsid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ai 9 punti vendita aperti nel solo mese di gennaio 2025. Un’espansione che testimonia il perseguimento</w:t>
      </w:r>
      <w:r w:rsidR="006D757C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senza sosta del piano di sviluppo che porterà</w:t>
      </w:r>
      <w:r w:rsid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="006D757C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raggiungere i 1.000 punti vendita entro il 2030</w:t>
      </w:r>
      <w:r w:rsid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748FD1A2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9C56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Arco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929994D" w14:textId="5BEB095F" w:rsidR="00010A67" w:rsidRDefault="00010A67" w:rsidP="00EF655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27998EB" w14:textId="32829F99" w:rsidR="00BF6413" w:rsidRPr="006409C6" w:rsidRDefault="006409C6" w:rsidP="006409C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A969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presenza </w:t>
      </w:r>
      <w:r w:rsidR="000C1F88" w:rsidRPr="00A969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rappresentanti delle istituzioni del Comune di Arco</w:t>
      </w:r>
      <w:r w:rsidRPr="00A969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è tenuto stamattina il taglio </w:t>
      </w:r>
      <w:r w:rsidR="000C1F8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nastro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nuovo supermercato dell’Insegna in via Santa Caterina, 101, l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ungo la direttrice che conduce al Lago di Garda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nuovo 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 sostituisce quello di Riva del Garda </w:t>
      </w:r>
      <w:r w:rsidR="00ED2648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via San Nazzaro e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rappresenta </w:t>
      </w:r>
      <w:r w:rsidR="00BF6413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impegno concreto verso la riqualificazione urbana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infatti, l'intervento </w:t>
      </w:r>
      <w:r w:rsidR="00BF6413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ha trasformato un'area commerciale in disuso in una struttura moderna e funzionale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senza consumo </w:t>
      </w:r>
      <w:r w:rsidR="00ED2648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ulteriore 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suol</w:t>
      </w:r>
      <w:r w:rsidR="00ED2648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BF6413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F6413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Inoltre, il progetto </w:t>
      </w:r>
      <w:r w:rsidR="00BC2585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previsto </w:t>
      </w:r>
      <w:r w:rsidR="00BF6413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messa in sicurezza dell'attraversamento ciclo-pedonale </w:t>
      </w:r>
      <w:r w:rsidR="00BC2585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BF6413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Via Santa Caterina e il </w:t>
      </w:r>
      <w:r w:rsidR="00DF20BA" w:rsidRPr="00DF20B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potenziamento della viabilità di penetrazione</w:t>
      </w:r>
      <w:r w:rsidR="00BF6413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allargando la strada e dotandola di una </w:t>
      </w:r>
      <w:r w:rsidR="00BF6413" w:rsidRPr="006D757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rete di smaltimento dell'acqua piovana</w:t>
      </w:r>
      <w:r w:rsidR="00BF6413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C2585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L’edificio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con un’area vendita di </w:t>
      </w:r>
      <w:r w:rsidR="00914787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</w:t>
      </w:r>
      <w:r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914787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 mq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in linea con i più recenti </w:t>
      </w:r>
      <w:r w:rsidR="00BC2585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standard aziendali di sostenibilità ambientale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</w:t>
      </w:r>
      <w:r w:rsidR="00BC2585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efficienza energetica,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dotato di un </w:t>
      </w:r>
      <w:r w:rsidR="00BC2585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 da 112 kW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il restante fabbisogno energetico è coperto al </w:t>
      </w:r>
      <w:r w:rsidR="00BC2585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100% da fonti rinnovabili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C2585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L’illuminazione interna sfrutta al massimo la luce naturale grazie alle ampie vetrate e si avvale di sistemi a LED, che garantiscono un </w:t>
      </w:r>
      <w:r w:rsidR="00BC2585" w:rsidRPr="006D757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risparmio del 50% rispetto alle tecnologie tradizionali</w:t>
      </w:r>
      <w:r w:rsidR="00BC2585" w:rsidRPr="006D75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C258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 è aperto </w:t>
      </w:r>
      <w:r w:rsidR="00BC2585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alla domenica dalle 8:00 alle 21:00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7C5175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dispone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 w:rsidR="00914787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90</w:t>
      </w:r>
      <w:r w:rsidR="00914787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di una </w:t>
      </w:r>
      <w:r w:rsidR="00914787" w:rsidRPr="006409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colonnina di ricarica per veicoli elettrici</w:t>
      </w:r>
      <w:r w:rsidR="00914787" w:rsidRPr="006409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1959B77B" w14:textId="77777777" w:rsidR="00757F46" w:rsidRPr="00992F9D" w:rsidRDefault="00757F46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5C52312" w14:textId="77777777" w:rsidR="00D70771" w:rsidRPr="00AE06FA" w:rsidRDefault="00D70771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16DF3AEA" w14:textId="447396F8" w:rsidR="00D70771" w:rsidRPr="00AE06FA" w:rsidRDefault="00D70771" w:rsidP="00D7077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ogni punto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</w:t>
      </w:r>
      <w:r w:rsidR="007C5175">
        <w:rPr>
          <w:rFonts w:asciiTheme="minorHAnsi" w:hAnsiTheme="minorHAnsi" w:cstheme="minorHAnsi"/>
          <w:b/>
          <w:color w:val="auto"/>
          <w:sz w:val="22"/>
          <w:szCs w:val="22"/>
        </w:rPr>
        <w:t>unendo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qualità e convenienza.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Tra i reparti principali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spiccano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quell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351C1D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>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>il reparto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7C5175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sezione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pensata per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Fanno parte dell’offerta anche</w:t>
      </w:r>
      <w:r w:rsidR="006409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più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gramStart"/>
      <w:r w:rsidR="00F90B89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proofErr w:type="gram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referenze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marchio </w:t>
      </w:r>
      <w:proofErr w:type="spellStart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una proposta che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nella più </w:t>
      </w:r>
      <w:r w:rsidR="00351C1D" w:rsidRPr="007C5175">
        <w:rPr>
          <w:rFonts w:asciiTheme="minorHAnsi" w:hAnsiTheme="minorHAnsi" w:cstheme="minorHAnsi"/>
          <w:b/>
          <w:color w:val="auto"/>
          <w:sz w:val="22"/>
          <w:szCs w:val="22"/>
        </w:rPr>
        <w:t>ampia strategia di alimentazione consapevole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sviluppata con il supporto di WWF, per aiutare i propri clienti a compiere scelte d’acquisto 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ogni giorno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>più sostenibili.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L’esperienza d’acquisto si completa con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programma fedeltà digitale, accessibile trami app, che permette di beneficiare di offerte esclusive, promozioni e altri 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79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88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239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C5A36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09C6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D757C"/>
    <w:rsid w:val="006E42C5"/>
    <w:rsid w:val="006E4572"/>
    <w:rsid w:val="006E76C6"/>
    <w:rsid w:val="006F7BDD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40D9"/>
    <w:rsid w:val="008061D0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691A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7751C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20BA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2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fcf04dab-dc09-4c96-8051-2bc2fa59da3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30</cp:revision>
  <cp:lastPrinted>2023-02-14T10:18:00Z</cp:lastPrinted>
  <dcterms:created xsi:type="dcterms:W3CDTF">2024-12-23T14:46:00Z</dcterms:created>
  <dcterms:modified xsi:type="dcterms:W3CDTF">2025-02-06T11:46:00Z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