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FB65F" w14:textId="77777777" w:rsidR="004B42C1" w:rsidRDefault="004B42C1" w:rsidP="009722F0">
      <w:pPr>
        <w:pStyle w:val="EinfAbs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68FE8D1A" w14:textId="3EA442D1" w:rsidR="00AE06FA" w:rsidRPr="00071BBE" w:rsidRDefault="00E50635" w:rsidP="00AE06FA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NUOVA SEDE PER LIDL A COSSATO (bI)</w:t>
      </w:r>
    </w:p>
    <w:p w14:paraId="1F072E0B" w14:textId="0931C8B3" w:rsidR="00BB6F79" w:rsidRPr="00BB6F79" w:rsidRDefault="000C364A" w:rsidP="00BB6F7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C70B03">
        <w:rPr>
          <w:rFonts w:asciiTheme="minorHAnsi" w:hAnsiTheme="minorHAnsi" w:cstheme="minorHAnsi"/>
          <w:bCs/>
          <w:i/>
          <w:sz w:val="28"/>
          <w:szCs w:val="28"/>
          <w:lang w:val="it-IT"/>
        </w:rPr>
        <w:t>9</w:t>
      </w:r>
      <w:r w:rsidR="00671166"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>nuovi posti di lavor</w:t>
      </w:r>
      <w:r w:rsidR="00BB6F79"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733E18B4" w14:textId="16E97914" w:rsidR="00BB6F79" w:rsidRPr="0071422D" w:rsidRDefault="008C3DDF" w:rsidP="008C3DDF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8C3DDF">
        <w:rPr>
          <w:rFonts w:asciiTheme="minorHAnsi" w:hAnsiTheme="minorHAnsi" w:cstheme="minorHAnsi"/>
          <w:bCs/>
          <w:i/>
          <w:sz w:val="28"/>
          <w:szCs w:val="28"/>
          <w:lang w:val="it-IT"/>
        </w:rPr>
        <w:t>Un progetto immobiliare attento all’ambiente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che ha previsto la realizzazione di</w:t>
      </w:r>
      <w:r w:rsidRPr="008C3DD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un’area verde pubblica</w:t>
      </w:r>
    </w:p>
    <w:p w14:paraId="068A2FE8" w14:textId="77777777" w:rsidR="00177EE1" w:rsidRPr="009748E5" w:rsidRDefault="00177EE1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456D4EDB" w14:textId="48B50989" w:rsidR="0022589A" w:rsidRDefault="00C70B03" w:rsidP="004550C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Cossato</w:t>
      </w:r>
      <w:r w:rsidR="00826C7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BI</w:t>
      </w:r>
      <w:r w:rsidR="00826C7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154FC8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0 marzo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95897806"/>
      <w:r w:rsidR="00C8282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End w:id="0"/>
      <w:r w:rsidR="0022589A" w:rsidRPr="00656C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Alla presenza del </w:t>
      </w:r>
      <w:r w:rsidR="0022589A" w:rsidRPr="00656C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Sindaco Enrico Moggio</w:t>
      </w:r>
      <w:r w:rsid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q</w:t>
      </w:r>
      <w:r w:rsidR="00071BBE" w:rsidRPr="00461D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uesta </w:t>
      </w:r>
      <w:r w:rsidR="00071BBE" w:rsidRPr="00AC63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mattina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Via Giacomo Matteotti a Cossato </w:t>
      </w:r>
      <w:r w:rsidRPr="0022589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</w:t>
      </w:r>
      <w:r w:rsid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tagliato il nastro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5063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 suo nuovo supermercato</w:t>
      </w:r>
      <w:r w:rsid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071BBE" w:rsidRPr="007E50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nell'area ex Tricot5 e </w:t>
      </w:r>
      <w:proofErr w:type="spellStart"/>
      <w:r w:rsidR="00071BBE" w:rsidRPr="007E50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Caravel</w:t>
      </w:r>
      <w:proofErr w:type="spellEnd"/>
      <w:r w:rsidR="00071BBE" w:rsidRPr="007E50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73199" w:rsidRPr="007E50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store</w:t>
      </w:r>
      <w:r w:rsidR="007E501B" w:rsidRPr="007E50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</w:t>
      </w:r>
      <w:r w:rsidR="007E50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he sostituirà lo storico Lidl di Via Maffei inaugurato nel 2007,</w:t>
      </w:r>
      <w:r w:rsidR="00173199" w:rsidRPr="007E50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sarà</w:t>
      </w:r>
      <w:r w:rsidR="00173199" w:rsidRPr="007E50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aperto</w:t>
      </w:r>
      <w:r w:rsidR="00173199" w:rsidRPr="007E50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dal lunedì al sabato dalle 8:00 alle 21:30 e la domenica dalle 8:00 alle 21:00</w:t>
      </w:r>
      <w:r w:rsidR="00173199" w:rsidRPr="007E50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22589A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questo trasferimento, Lidl ha integrato il proprio organico con </w:t>
      </w:r>
      <w:r w:rsidR="0022589A" w:rsidRPr="008C3D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22589A" w:rsidRPr="008C3D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assunzione di 9 collaboratori</w:t>
      </w:r>
      <w:r w:rsidR="00E5063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</w:t>
      </w:r>
      <w:r w:rsid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sono aggiunti alla squadra di oltre 22.000 persone già in forza all’Azienda</w:t>
      </w:r>
      <w:r w:rsidR="00E5063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livello nazionale</w:t>
      </w:r>
      <w:r w:rsid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575B1A2F" w14:textId="77777777" w:rsidR="0022589A" w:rsidRDefault="0022589A" w:rsidP="004550C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A916B50" w14:textId="26C3E8FD" w:rsidR="0022589A" w:rsidRDefault="00D477EF" w:rsidP="004550C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Un progetto immobiliare attento all’ambiente</w:t>
      </w:r>
    </w:p>
    <w:p w14:paraId="02F8DE74" w14:textId="1AF04285" w:rsidR="00786F9D" w:rsidRPr="0022589A" w:rsidRDefault="0022589A" w:rsidP="004550C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un’area vendita di </w:t>
      </w:r>
      <w:r w:rsidRPr="0022589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1.500 m</w:t>
      </w:r>
      <w:r w:rsidR="008C3DDF" w:rsidRPr="008C3D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l</w:t>
      </w:r>
      <w:r w:rsidR="00173199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’edificio</w:t>
      </w:r>
      <w:r w:rsidR="003208E6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</w:t>
      </w:r>
      <w:r w:rsidR="00705D05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linea con i più recenti </w:t>
      </w:r>
      <w:r w:rsidR="00705D05" w:rsidRPr="0022589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standard aziendali di sostenibilità ambientale</w:t>
      </w:r>
      <w:r w:rsidR="008346A8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 </w:t>
      </w:r>
      <w:r w:rsidR="008346A8" w:rsidRPr="0022589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efficienza energetica</w:t>
      </w:r>
      <w:r w:rsidR="00705D05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208E6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E3078B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sorge al posto di </w:t>
      </w:r>
      <w:r w:rsidR="00705D05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vecchio fabbricato </w:t>
      </w:r>
      <w:r w:rsid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 tempo adibito a discoteca, demol</w:t>
      </w:r>
      <w:r w:rsidR="00E3078B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ito per far spazio a una </w:t>
      </w:r>
      <w:r w:rsidR="00CA5AB4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moderna </w:t>
      </w:r>
      <w:r w:rsidR="00E3078B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struttura </w:t>
      </w:r>
      <w:r w:rsidR="00CA5AB4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commerciale</w:t>
      </w:r>
      <w:r w:rsidR="008C3D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grazie a</w:t>
      </w:r>
      <w:r w:rsidR="00CA5AB4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progetto a </w:t>
      </w:r>
      <w:r w:rsidR="00CA5AB4" w:rsidRPr="0022589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consumo di suolo zero</w:t>
      </w:r>
      <w:r w:rsidR="003208E6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CA5AB4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24C8D" w:rsidRP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supermercato è dotato di un </w:t>
      </w:r>
      <w:r w:rsidR="00F24C8D" w:rsidRPr="00D477E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fotovoltaico da 1</w:t>
      </w:r>
      <w:r w:rsidR="00D477E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49</w:t>
      </w:r>
      <w:r w:rsidR="00F24C8D" w:rsidRPr="00D477E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F24C8D" w:rsidRP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il restante fabbisogno energetico è coperto al </w:t>
      </w:r>
      <w:r w:rsidR="00F24C8D" w:rsidRPr="00D477E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100% da fonti rinnovabili</w:t>
      </w:r>
      <w:r w:rsidR="00F24C8D" w:rsidRP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F24C8D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L’illuminazione interna sfrutta </w:t>
      </w:r>
      <w:r w:rsidR="00E3078B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 massimo</w:t>
      </w:r>
      <w:r w:rsidR="00F24C8D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 luce naturale</w:t>
      </w:r>
      <w:r w:rsidR="00E3078B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grazie alle</w:t>
      </w:r>
      <w:r w:rsidR="00F24C8D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ampie vetrate</w:t>
      </w:r>
      <w:r w:rsidR="00E3078B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si avvale di</w:t>
      </w:r>
      <w:r w:rsidR="00F24C8D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sistemi a LED, che </w:t>
      </w:r>
      <w:r w:rsidR="00E3078B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garantiscono</w:t>
      </w:r>
      <w:r w:rsidR="00F24C8D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risparmio del 50% rispetto alle tecnologie tradizionali</w:t>
      </w:r>
      <w:r w:rsidR="00CA5AB4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3208E6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All’esterno del punto vendita, l’Azienda ha realizzato </w:t>
      </w:r>
      <w:r w:rsidR="00D477EF" w:rsidRPr="008C3D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</w:t>
      </w:r>
      <w:r w:rsidR="007E22B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passaggio pedonale, un</w:t>
      </w:r>
      <w:r w:rsidR="00D477EF" w:rsidRPr="008C3D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 piazzetta e un’area verde pubblica</w:t>
      </w:r>
      <w:r w:rsid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dove sono stat</w:t>
      </w:r>
      <w:r w:rsidR="007E22B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5063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piantumati</w:t>
      </w:r>
      <w:r w:rsid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E22B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90 </w:t>
      </w:r>
      <w:r w:rsidR="00D477EF" w:rsidRP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alberi</w:t>
      </w:r>
      <w:r w:rsid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="00D477EF" w:rsidRP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arbusti</w:t>
      </w:r>
      <w:r w:rsidR="007E22B8" w:rsidRPr="007E22B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E22B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7E22B8" w:rsidRP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14 specie</w:t>
      </w:r>
      <w:r w:rsid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oltre che</w:t>
      </w:r>
      <w:r w:rsidR="00D477EF" w:rsidRP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 s</w:t>
      </w:r>
      <w:r w:rsidR="00D477EF" w:rsidRP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istema di recupero delle acque</w:t>
      </w:r>
      <w:r w:rsidR="007E22B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piovane per uso irriguo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un parcheggio da </w:t>
      </w:r>
      <w:r w:rsidR="003208E6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circa </w:t>
      </w:r>
      <w:r w:rsid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120</w:t>
      </w:r>
      <w:r w:rsidR="003208E6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posti auto</w:t>
      </w:r>
      <w:r w:rsid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dotato di</w:t>
      </w:r>
      <w:r w:rsidR="003208E6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una </w:t>
      </w:r>
      <w:r w:rsidR="00D477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postazione</w:t>
      </w:r>
      <w:r w:rsidR="003208E6" w:rsidRPr="002258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la ricarica dei veicoli elettrici.</w:t>
      </w:r>
    </w:p>
    <w:p w14:paraId="1501B9E0" w14:textId="77777777" w:rsidR="007E22B8" w:rsidRDefault="007E22B8" w:rsidP="00D70771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</w:p>
    <w:p w14:paraId="25C52312" w14:textId="01076D88" w:rsidR="00D70771" w:rsidRPr="00AE06FA" w:rsidRDefault="00D70771" w:rsidP="00D70771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una spesa completa e di qualità</w:t>
      </w:r>
    </w:p>
    <w:p w14:paraId="16DF3AEA" w14:textId="7A78ECC1" w:rsidR="00D70771" w:rsidRPr="00AE06FA" w:rsidRDefault="00D70771" w:rsidP="00D70771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ogni suo punto vendita, Lidl Italia offre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tutto il necessario per una spesa completa, combinando qualità e convenienza</w:t>
      </w:r>
      <w:r w:rsidRPr="008C3DDF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Tra i reparti principali, quello d</w:t>
      </w:r>
      <w:r w:rsidR="008C3DDF">
        <w:rPr>
          <w:rFonts w:asciiTheme="minorHAnsi" w:hAnsiTheme="minorHAnsi" w:cstheme="minorHAnsi"/>
          <w:bCs/>
          <w:color w:val="auto"/>
          <w:sz w:val="22"/>
          <w:szCs w:val="22"/>
        </w:rPr>
        <w:t>ella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offre prodotti freschi selezionati ogni giorno, mentre la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propone un ricco assortimento di pane, dolci e altre specialità da forno. Non mancano i prodotti per la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una sezione dedicata agli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Fanno parte dell’offerta anche </w:t>
      </w:r>
      <w:proofErr w:type="gramStart"/>
      <w:r w:rsidR="00D477EF">
        <w:rPr>
          <w:rFonts w:asciiTheme="minorHAnsi" w:hAnsiTheme="minorHAnsi" w:cstheme="minorHAnsi"/>
          <w:b/>
          <w:color w:val="auto"/>
          <w:sz w:val="22"/>
          <w:szCs w:val="22"/>
        </w:rPr>
        <w:t>10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proofErr w:type="gramEnd"/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referenze</w:t>
      </w:r>
      <w:r w:rsidR="00D477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vegetariane e vegane 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marchio </w:t>
      </w:r>
      <w:proofErr w:type="spellStart"/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proofErr w:type="spellEnd"/>
      <w:r w:rsidRPr="008C3DDF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ideali per chi cerca un’alternativa ai prodotti di origine animale. L’esperienza d’acquisto si completa con 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il programma fedeltà digitale, accessibile trami</w:t>
      </w:r>
      <w:r w:rsidR="008C3DDF">
        <w:rPr>
          <w:rFonts w:asciiTheme="minorHAnsi" w:hAnsiTheme="minorHAnsi" w:cstheme="minorHAnsi"/>
          <w:bCs/>
          <w:color w:val="auto"/>
          <w:sz w:val="22"/>
          <w:szCs w:val="22"/>
        </w:rPr>
        <w:t>te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app, che permette di beneficiare di offerte esclusive, promozioni e altri vantaggi.</w:t>
      </w:r>
    </w:p>
    <w:p w14:paraId="66F36A32" w14:textId="77777777" w:rsidR="006746CF" w:rsidRPr="00992F9D" w:rsidRDefault="006746CF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1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1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04963B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669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1BBE"/>
    <w:rsid w:val="0007383C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4C0"/>
    <w:rsid w:val="00166054"/>
    <w:rsid w:val="0017060B"/>
    <w:rsid w:val="00171FA8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2589A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0CB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6CD8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D09E1"/>
    <w:rsid w:val="007D3DD0"/>
    <w:rsid w:val="007D536B"/>
    <w:rsid w:val="007D53DB"/>
    <w:rsid w:val="007E22B8"/>
    <w:rsid w:val="007E501B"/>
    <w:rsid w:val="007F0BA2"/>
    <w:rsid w:val="007F1F7F"/>
    <w:rsid w:val="007F6D48"/>
    <w:rsid w:val="008040D9"/>
    <w:rsid w:val="00814ECB"/>
    <w:rsid w:val="008234CB"/>
    <w:rsid w:val="00826C76"/>
    <w:rsid w:val="00832CB5"/>
    <w:rsid w:val="008346A8"/>
    <w:rsid w:val="00835707"/>
    <w:rsid w:val="00835F47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8A0"/>
    <w:rsid w:val="008C1EB2"/>
    <w:rsid w:val="008C28B4"/>
    <w:rsid w:val="008C3BA8"/>
    <w:rsid w:val="008C3DDF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4B76"/>
    <w:rsid w:val="009A4D0F"/>
    <w:rsid w:val="009A6E93"/>
    <w:rsid w:val="009B1739"/>
    <w:rsid w:val="009B28B2"/>
    <w:rsid w:val="009B33F8"/>
    <w:rsid w:val="009C0411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B45EE"/>
    <w:rsid w:val="00AB5BE4"/>
    <w:rsid w:val="00AB71BA"/>
    <w:rsid w:val="00AB7F62"/>
    <w:rsid w:val="00AC0D82"/>
    <w:rsid w:val="00AC6367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6FA"/>
    <w:rsid w:val="00BC3786"/>
    <w:rsid w:val="00BD500F"/>
    <w:rsid w:val="00BF2955"/>
    <w:rsid w:val="00BF3A78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0B03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A74"/>
    <w:rsid w:val="00C94B5F"/>
    <w:rsid w:val="00C9558C"/>
    <w:rsid w:val="00C95D9D"/>
    <w:rsid w:val="00CA33B3"/>
    <w:rsid w:val="00CA3DD2"/>
    <w:rsid w:val="00CA5AB4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477EF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10D01"/>
    <w:rsid w:val="00E12B16"/>
    <w:rsid w:val="00E20156"/>
    <w:rsid w:val="00E269C9"/>
    <w:rsid w:val="00E305BA"/>
    <w:rsid w:val="00E3078B"/>
    <w:rsid w:val="00E342E9"/>
    <w:rsid w:val="00E40992"/>
    <w:rsid w:val="00E4205F"/>
    <w:rsid w:val="00E50635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43738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694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16</cp:revision>
  <cp:lastPrinted>2023-02-14T10:18:00Z</cp:lastPrinted>
  <dcterms:created xsi:type="dcterms:W3CDTF">2024-12-23T14:46:00Z</dcterms:created>
  <dcterms:modified xsi:type="dcterms:W3CDTF">2025-03-20T10:29:00Z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