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6EA64" w14:textId="77777777" w:rsidR="005C3598" w:rsidRPr="00142D9F" w:rsidRDefault="005C3598" w:rsidP="005C3598">
      <w:pPr>
        <w:pStyle w:val="EinfAbs"/>
        <w:jc w:val="center"/>
        <w:rPr>
          <w:rFonts w:ascii="Calibri" w:hAnsi="Calibri" w:cs="Calibri-Bold"/>
          <w:b/>
          <w:bCs/>
          <w:caps/>
          <w:color w:val="2F5496" w:themeColor="accent1" w:themeShade="BF"/>
          <w:sz w:val="40"/>
          <w:szCs w:val="40"/>
          <w:lang w:val="it-IT"/>
        </w:rPr>
      </w:pPr>
      <w:r w:rsidRPr="00142D9F">
        <w:rPr>
          <w:rFonts w:ascii="Calibri" w:hAnsi="Calibri" w:cs="Calibri-Bold"/>
          <w:b/>
          <w:bCs/>
          <w:caps/>
          <w:color w:val="2F5496" w:themeColor="accent1" w:themeShade="BF"/>
          <w:sz w:val="40"/>
          <w:szCs w:val="40"/>
          <w:lang w:val="it-IT"/>
        </w:rPr>
        <w:t xml:space="preserve">LIDL </w:t>
      </w:r>
      <w:r w:rsidR="009F4D64" w:rsidRPr="00142D9F">
        <w:rPr>
          <w:rFonts w:ascii="Calibri" w:hAnsi="Calibri" w:cs="Calibri-Bold"/>
          <w:b/>
          <w:bCs/>
          <w:caps/>
          <w:color w:val="2F5496" w:themeColor="accent1" w:themeShade="BF"/>
          <w:sz w:val="40"/>
          <w:szCs w:val="40"/>
          <w:lang w:val="it-IT"/>
        </w:rPr>
        <w:t>AMPLIA LA SUA PRESENZA A ROMA CON LA</w:t>
      </w:r>
      <w:r w:rsidRPr="00142D9F">
        <w:rPr>
          <w:rFonts w:ascii="Calibri" w:hAnsi="Calibri" w:cs="Calibri-Bold"/>
          <w:b/>
          <w:bCs/>
          <w:caps/>
          <w:color w:val="2F5496" w:themeColor="accent1" w:themeShade="BF"/>
          <w:sz w:val="40"/>
          <w:szCs w:val="40"/>
          <w:lang w:val="it-IT"/>
        </w:rPr>
        <w:t xml:space="preserve"> NUOVA APERTURA </w:t>
      </w:r>
      <w:r w:rsidR="009F4D64" w:rsidRPr="00142D9F">
        <w:rPr>
          <w:rFonts w:ascii="Calibri" w:hAnsi="Calibri" w:cs="Calibri-Bold"/>
          <w:b/>
          <w:bCs/>
          <w:caps/>
          <w:color w:val="2F5496" w:themeColor="accent1" w:themeShade="BF"/>
          <w:sz w:val="40"/>
          <w:szCs w:val="40"/>
          <w:lang w:val="it-IT"/>
        </w:rPr>
        <w:t>IN VIA TUSCOLANA</w:t>
      </w:r>
    </w:p>
    <w:p w14:paraId="295AD7B8" w14:textId="6576F52E" w:rsidR="005C3598" w:rsidRPr="00E6730A" w:rsidRDefault="009F4D64" w:rsidP="005C3598">
      <w:pPr>
        <w:spacing w:after="0"/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>Prosegue il piano d’espansione dell’Insegna</w:t>
      </w:r>
      <w:r w:rsidR="00386C98">
        <w:rPr>
          <w:rFonts w:cs="Calibri-Bold"/>
          <w:bCs/>
          <w:i/>
          <w:sz w:val="32"/>
          <w:szCs w:val="32"/>
          <w:lang w:val="it-IT"/>
        </w:rPr>
        <w:t>:</w:t>
      </w:r>
      <w:r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="00386C98">
        <w:rPr>
          <w:rFonts w:cs="Calibri-Bold"/>
          <w:bCs/>
          <w:i/>
          <w:sz w:val="32"/>
          <w:szCs w:val="32"/>
          <w:lang w:val="it-IT"/>
        </w:rPr>
        <w:t>giovedì</w:t>
      </w:r>
      <w:r w:rsidR="005C3598">
        <w:rPr>
          <w:rFonts w:cs="Calibri-Bold"/>
          <w:bCs/>
          <w:i/>
          <w:sz w:val="32"/>
          <w:szCs w:val="32"/>
          <w:lang w:val="it-IT"/>
        </w:rPr>
        <w:t xml:space="preserve"> 15 ottobre l’inaugurazione del </w:t>
      </w:r>
      <w:r>
        <w:rPr>
          <w:rFonts w:cs="Calibri-Bold"/>
          <w:bCs/>
          <w:i/>
          <w:sz w:val="32"/>
          <w:szCs w:val="32"/>
          <w:lang w:val="it-IT"/>
        </w:rPr>
        <w:t xml:space="preserve">19° </w:t>
      </w:r>
      <w:r w:rsidR="00272D60">
        <w:rPr>
          <w:rFonts w:cs="Calibri-Bold"/>
          <w:bCs/>
          <w:i/>
          <w:sz w:val="32"/>
          <w:szCs w:val="32"/>
          <w:lang w:val="it-IT"/>
        </w:rPr>
        <w:t xml:space="preserve">store </w:t>
      </w:r>
      <w:r>
        <w:rPr>
          <w:rFonts w:cs="Calibri-Bold"/>
          <w:bCs/>
          <w:i/>
          <w:sz w:val="32"/>
          <w:szCs w:val="32"/>
          <w:lang w:val="it-IT"/>
        </w:rPr>
        <w:t>romano</w:t>
      </w:r>
      <w:r w:rsidR="00A858EF">
        <w:rPr>
          <w:rFonts w:cs="Calibri-Bold"/>
          <w:bCs/>
          <w:i/>
          <w:sz w:val="32"/>
          <w:szCs w:val="32"/>
          <w:lang w:val="it-IT"/>
        </w:rPr>
        <w:t xml:space="preserve">. </w:t>
      </w:r>
      <w:r w:rsidR="00272D60">
        <w:rPr>
          <w:rFonts w:cs="Calibri-Bold"/>
          <w:bCs/>
          <w:i/>
          <w:sz w:val="32"/>
          <w:szCs w:val="32"/>
          <w:lang w:val="it-IT"/>
        </w:rPr>
        <w:t>Investiti</w:t>
      </w:r>
      <w:r w:rsidR="00A858EF">
        <w:rPr>
          <w:rFonts w:cs="Calibri-Bold"/>
          <w:bCs/>
          <w:i/>
          <w:sz w:val="32"/>
          <w:szCs w:val="32"/>
          <w:lang w:val="it-IT"/>
        </w:rPr>
        <w:t xml:space="preserve"> circa 8 milioni di euro</w:t>
      </w:r>
      <w:r w:rsidR="00272D60">
        <w:rPr>
          <w:rFonts w:cs="Calibri-Bold"/>
          <w:bCs/>
          <w:i/>
          <w:sz w:val="32"/>
          <w:szCs w:val="32"/>
          <w:lang w:val="it-IT"/>
        </w:rPr>
        <w:t xml:space="preserve"> sul territorio</w:t>
      </w:r>
      <w:r w:rsidR="00B6044D">
        <w:rPr>
          <w:rFonts w:cs="Calibri-Bold"/>
          <w:bCs/>
          <w:i/>
          <w:sz w:val="32"/>
          <w:szCs w:val="32"/>
          <w:lang w:val="it-IT"/>
        </w:rPr>
        <w:t>.</w:t>
      </w:r>
    </w:p>
    <w:p w14:paraId="1D127C12" w14:textId="77777777" w:rsidR="005C3598" w:rsidRPr="004934BF" w:rsidRDefault="005C3598" w:rsidP="005C3598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692E8A4A" w14:textId="77777777" w:rsidR="005C3598" w:rsidRDefault="00386C98" w:rsidP="005C359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Roma</w:t>
      </w:r>
      <w:r w:rsidR="005C3598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, 1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5 ottobre</w:t>
      </w:r>
      <w:r w:rsidR="005C3598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2020 </w:t>
      </w:r>
      <w:r w:rsidR="005C3598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6044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C3598">
        <w:rPr>
          <w:rFonts w:ascii="Calibri" w:hAnsi="Calibri" w:cs="Calibri-Bold"/>
          <w:bCs/>
          <w:color w:val="auto"/>
          <w:sz w:val="22"/>
          <w:szCs w:val="22"/>
          <w:lang w:val="it-IT"/>
        </w:rPr>
        <w:t>Lidl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Italia</w:t>
      </w:r>
      <w:r w:rsidR="005C359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catena di supermercati con oltre 660 punti vendita su tutto il territorio nazionale, prosegue a ritmo sostenuto il suo piano di sviluppo con l’apertura, </w:t>
      </w:r>
      <w:r w:rsidR="005C3598" w:rsidRPr="00295D53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5</w:t>
      </w:r>
      <w:r w:rsidR="005C3598" w:rsidRPr="00295D5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o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ttobre</w:t>
      </w:r>
      <w:r w:rsidR="005C3598">
        <w:rPr>
          <w:rFonts w:ascii="Calibri" w:hAnsi="Calibri" w:cs="Calibri-Bold"/>
          <w:bCs/>
          <w:color w:val="auto"/>
          <w:sz w:val="22"/>
          <w:szCs w:val="22"/>
          <w:lang w:val="it-IT"/>
        </w:rPr>
        <w:t>, di un nuovo punto vendita a</w:t>
      </w:r>
      <w:r w:rsidR="005D48B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Roma</w:t>
      </w:r>
      <w:r w:rsidR="005C359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Via </w:t>
      </w:r>
      <w:r w:rsidR="005D48B8">
        <w:rPr>
          <w:rFonts w:ascii="Calibri" w:hAnsi="Calibri" w:cs="Calibri-Bold"/>
          <w:bCs/>
          <w:color w:val="auto"/>
          <w:sz w:val="22"/>
          <w:szCs w:val="22"/>
          <w:lang w:val="it-IT"/>
        </w:rPr>
        <w:t>Tuscolana. SI tratta del 19° supermercato dell’insegna nell</w:t>
      </w:r>
      <w:r w:rsidR="004D33C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’area metropolitana romana, segno della grande importanza che la </w:t>
      </w:r>
      <w:r w:rsidR="00142D9F">
        <w:rPr>
          <w:rFonts w:ascii="Calibri" w:hAnsi="Calibri" w:cs="Calibri-Bold"/>
          <w:bCs/>
          <w:color w:val="auto"/>
          <w:sz w:val="22"/>
          <w:szCs w:val="22"/>
          <w:lang w:val="it-IT"/>
        </w:rPr>
        <w:t>C</w:t>
      </w:r>
      <w:r w:rsidR="004D33C7">
        <w:rPr>
          <w:rFonts w:ascii="Calibri" w:hAnsi="Calibri" w:cs="Calibri-Bold"/>
          <w:bCs/>
          <w:color w:val="auto"/>
          <w:sz w:val="22"/>
          <w:szCs w:val="22"/>
          <w:lang w:val="it-IT"/>
        </w:rPr>
        <w:t>apitale riveste nelle politiche di sviluppo territoriale di Lidl.</w:t>
      </w:r>
    </w:p>
    <w:p w14:paraId="397C2B39" w14:textId="77777777" w:rsidR="005C3598" w:rsidRDefault="004D33C7" w:rsidP="005C359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142D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L’investimento complessivo sostenuto dall’Azienda per l’operazione ammonta a </w:t>
      </w:r>
      <w:r w:rsidR="001226C3" w:rsidRPr="00142D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circa otto</w:t>
      </w:r>
      <w:r w:rsidRPr="00142D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milioni di euro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che</w:t>
      </w:r>
      <w:r w:rsidR="005C359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rientra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no</w:t>
      </w:r>
      <w:r w:rsidR="005C359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nel più ampio </w:t>
      </w:r>
      <w:r w:rsidR="005C3598"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piano “Lidl per l’Italia”</w:t>
      </w:r>
      <w:r w:rsidR="005C359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basa su </w:t>
      </w:r>
      <w:r w:rsidR="005C3598"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tre pilastri</w:t>
      </w:r>
      <w:r w:rsidR="005C359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: </w:t>
      </w:r>
    </w:p>
    <w:p w14:paraId="6B930A96" w14:textId="77777777" w:rsidR="005C3598" w:rsidRDefault="005C3598" w:rsidP="005C3598">
      <w:pPr>
        <w:pStyle w:val="EinfAbs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gli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030A1761" w14:textId="77777777" w:rsidR="005C3598" w:rsidRDefault="005C3598" w:rsidP="005C3598">
      <w:pPr>
        <w:pStyle w:val="EinfAbs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352F9385" w14:textId="2AA2F1FB" w:rsidR="005C3598" w:rsidRDefault="005C3598" w:rsidP="005C3598">
      <w:pPr>
        <w:pStyle w:val="EinfAbs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</w:t>
      </w:r>
      <w:r w:rsidR="00272D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negli oltre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11.000 punti vendita dell’Insegna nel mondo. </w:t>
      </w:r>
    </w:p>
    <w:p w14:paraId="7D3B2065" w14:textId="77777777" w:rsidR="00A858EF" w:rsidRDefault="00A858EF" w:rsidP="005C359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056B3AE" w14:textId="732964C4" w:rsidR="005C3598" w:rsidRPr="00730ED9" w:rsidRDefault="004D33C7" w:rsidP="005C359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Particolarmente significativo anche il risvolto occupazionale di questa nuova inaugurazione</w:t>
      </w:r>
      <w:r w:rsidR="00272D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ha portato all’assunzione di </w:t>
      </w:r>
      <w:r w:rsidRPr="00B6044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22 nuovi collaboratori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7938171D" w14:textId="77777777" w:rsidR="005C3598" w:rsidRDefault="005C3598" w:rsidP="005C359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77DBABDE" w14:textId="57813FDB" w:rsidR="00A858EF" w:rsidRPr="001226C3" w:rsidRDefault="005C3598" w:rsidP="00A858EF">
      <w:pPr>
        <w:pStyle w:val="EinfAbs"/>
        <w:jc w:val="both"/>
        <w:rPr>
          <w:rFonts w:asciiTheme="minorHAnsi" w:hAnsiTheme="minorHAnsi" w:cstheme="minorHAnsi"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Il nuovo store Lidl, situato</w:t>
      </w:r>
      <w:r w:rsidRPr="009F557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A858EF">
        <w:rPr>
          <w:rFonts w:ascii="Calibri" w:hAnsi="Calibri" w:cs="Calibri-Bold"/>
          <w:bCs/>
          <w:color w:val="auto"/>
          <w:sz w:val="22"/>
          <w:szCs w:val="22"/>
          <w:lang w:val="it-IT"/>
        </w:rPr>
        <w:t>in Via Tuscolana 1528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è </w:t>
      </w:r>
      <w:r w:rsidR="00272D60">
        <w:rPr>
          <w:rFonts w:ascii="Calibri" w:hAnsi="Calibri" w:cs="Calibri-Bold"/>
          <w:bCs/>
          <w:color w:val="auto"/>
          <w:sz w:val="22"/>
          <w:szCs w:val="22"/>
          <w:lang w:val="it-IT"/>
        </w:rPr>
        <w:t>una struttura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272D6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costruita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particolare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alla sostenibilità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ambientale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energetica. L’edificio, infatti, è dotato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</w:t>
      </w:r>
      <w:r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>per fa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di un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1226C3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70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 w:rsidR="001226C3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, </w:t>
      </w:r>
      <w:r w:rsidR="001226C3">
        <w:rPr>
          <w:rFonts w:ascii="Calibri" w:hAnsi="Calibri" w:cs="Calibri-Bold"/>
          <w:color w:val="auto"/>
          <w:sz w:val="22"/>
          <w:szCs w:val="22"/>
          <w:lang w:val="it-IT"/>
        </w:rPr>
        <w:t>di colonnine per ricarica di auto e bici elettriche, un sistema di recupero dell’acqua piovana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dispone di un impianto a luci LED per ridurre i consumi energetici. Inoltre, i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  <w:r w:rsidR="00B6044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="00A858EF">
        <w:rPr>
          <w:rFonts w:ascii="Calibri" w:hAnsi="Calibri" w:cs="Calibri-Bold"/>
          <w:color w:val="auto"/>
          <w:sz w:val="22"/>
          <w:szCs w:val="22"/>
          <w:lang w:val="it-IT"/>
        </w:rPr>
        <w:t xml:space="preserve">Il punto di vendita è posto di fronte ai mitici studi di Cinecittà e sorge su un terreno precedentemente occupato da un deposito abbandonato di pellicole cinematografiche, inserendosi all’interno di un importante progetto di recupero e riqualificazione con consumo </w:t>
      </w:r>
      <w:r w:rsidR="00272D60">
        <w:rPr>
          <w:rFonts w:ascii="Calibri" w:hAnsi="Calibri" w:cs="Calibri-Bold"/>
          <w:color w:val="auto"/>
          <w:sz w:val="22"/>
          <w:szCs w:val="22"/>
          <w:lang w:val="it-IT"/>
        </w:rPr>
        <w:t xml:space="preserve">di </w:t>
      </w:r>
      <w:r w:rsidR="00A858EF">
        <w:rPr>
          <w:rFonts w:ascii="Calibri" w:hAnsi="Calibri" w:cs="Calibri-Bold"/>
          <w:color w:val="auto"/>
          <w:sz w:val="22"/>
          <w:szCs w:val="22"/>
          <w:lang w:val="it-IT"/>
        </w:rPr>
        <w:t xml:space="preserve">suolo pari a zero. </w:t>
      </w:r>
    </w:p>
    <w:p w14:paraId="415D5910" w14:textId="77777777" w:rsidR="00A858EF" w:rsidRDefault="00A858EF" w:rsidP="005C3598">
      <w:pPr>
        <w:pStyle w:val="EinfAbs"/>
        <w:jc w:val="both"/>
        <w:rPr>
          <w:rFonts w:ascii="Calibri" w:hAnsi="Calibri" w:cs="Calibri-Bold"/>
          <w:color w:val="auto"/>
          <w:sz w:val="22"/>
          <w:szCs w:val="22"/>
          <w:lang w:val="it-IT"/>
        </w:rPr>
      </w:pPr>
    </w:p>
    <w:p w14:paraId="352E8691" w14:textId="77777777" w:rsidR="005C3598" w:rsidRDefault="005C3598" w:rsidP="005C359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4ED34A7" w14:textId="21C799D0" w:rsidR="005C3598" w:rsidRPr="000B2CA6" w:rsidRDefault="005C3598" w:rsidP="005C3598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A858EF">
        <w:rPr>
          <w:rFonts w:ascii="Calibri" w:hAnsi="Calibri" w:cs="Calibri-Bold"/>
          <w:bCs/>
          <w:color w:val="auto"/>
          <w:sz w:val="22"/>
          <w:szCs w:val="22"/>
          <w:lang w:val="it-IT"/>
        </w:rPr>
        <w:t>Roma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si è svolta nel pieno rispetto delle norme di sicurezza necessarie</w:t>
      </w:r>
      <w:r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272D60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272D60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muniti di mascherine e guanti monouso, mentre alle casse sono state installate barriere in plexiglass. Ai clienti in attesa di entrare nel punto vendita,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forniti, se sprovvisti, guanti monouso, oltre ad un carrello igienizzato per gli acquisti. </w:t>
      </w:r>
      <w:bookmarkStart w:id="0" w:name="_GoBack"/>
      <w:bookmarkEnd w:id="0"/>
      <w:r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a </w:t>
      </w:r>
      <w:r w:rsidR="00A858E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sabato dalle 8:00 alle 22:00 e </w:t>
      </w:r>
      <w:r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domenica dalle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A858E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A858E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0 </w:t>
      </w:r>
      <w:r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alle 2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0.</w:t>
      </w:r>
    </w:p>
    <w:p w14:paraId="2B09CB8D" w14:textId="77777777" w:rsidR="005C3598" w:rsidRDefault="005C3598" w:rsidP="005C3598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1D2B4BE" w14:textId="77777777" w:rsidR="005C3598" w:rsidRDefault="005C3598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7B6CB2AA" w14:textId="77777777" w:rsidR="005C3598" w:rsidRPr="00B6044D" w:rsidRDefault="005C3598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  <w:r w:rsidRPr="00B6044D"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  <w:t>Company profile Lidl</w:t>
      </w:r>
    </w:p>
    <w:p w14:paraId="140F1534" w14:textId="77777777" w:rsidR="005C3598" w:rsidRDefault="005C3598" w:rsidP="005C3598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21AD1FAB" w14:textId="77777777" w:rsidR="005C3598" w:rsidRPr="00B6044D" w:rsidRDefault="005C3598" w:rsidP="005C3598">
      <w:pPr>
        <w:jc w:val="both"/>
        <w:rPr>
          <w:rFonts w:cs="Calibri-Bold"/>
          <w:bCs/>
          <w:color w:val="2F5496" w:themeColor="accent1" w:themeShade="BF"/>
          <w:sz w:val="18"/>
          <w:szCs w:val="18"/>
          <w:lang w:val="it-IT"/>
        </w:rPr>
      </w:pPr>
      <w:r w:rsidRPr="00B6044D"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  <w:t>Contatti per la stampa:</w:t>
      </w:r>
    </w:p>
    <w:p w14:paraId="09A4AA4E" w14:textId="77777777" w:rsidR="005C3598" w:rsidRPr="00B6044D" w:rsidRDefault="005C3598" w:rsidP="005C3598">
      <w:pPr>
        <w:spacing w:after="0"/>
        <w:rPr>
          <w:rFonts w:cs="Calibri-Bold"/>
          <w:bCs/>
          <w:sz w:val="18"/>
          <w:szCs w:val="18"/>
          <w:lang w:val="it-IT"/>
        </w:rPr>
      </w:pPr>
      <w:r w:rsidRPr="00B6044D">
        <w:rPr>
          <w:rFonts w:cs="Calibri-Bold"/>
          <w:bCs/>
          <w:sz w:val="18"/>
          <w:szCs w:val="18"/>
          <w:lang w:val="it-IT"/>
        </w:rPr>
        <w:t>LIDL Italia srl a socio unico - Ufficio Comunicazione</w:t>
      </w:r>
    </w:p>
    <w:p w14:paraId="0D263B3F" w14:textId="77777777" w:rsidR="005C3598" w:rsidRPr="00B6044D" w:rsidRDefault="005C3598" w:rsidP="005C3598">
      <w:pPr>
        <w:spacing w:after="0"/>
        <w:rPr>
          <w:rFonts w:cs="Calibri-Bold"/>
          <w:bCs/>
          <w:sz w:val="18"/>
          <w:szCs w:val="18"/>
          <w:lang w:val="it-IT"/>
        </w:rPr>
      </w:pPr>
      <w:r w:rsidRPr="00B6044D">
        <w:rPr>
          <w:rFonts w:cs="Calibri-Bold"/>
          <w:bCs/>
          <w:sz w:val="18"/>
          <w:szCs w:val="18"/>
          <w:lang w:val="it-IT"/>
        </w:rPr>
        <w:t>Via Augusto Ruffo, 36 - 37040 Arcole (VR)</w:t>
      </w:r>
    </w:p>
    <w:p w14:paraId="0EBB8940" w14:textId="77777777" w:rsidR="005C3598" w:rsidRPr="00B6044D" w:rsidRDefault="005C3598" w:rsidP="005C3598">
      <w:pPr>
        <w:spacing w:after="0"/>
        <w:rPr>
          <w:rFonts w:cs="Calibri-Bold"/>
          <w:bCs/>
          <w:sz w:val="18"/>
          <w:szCs w:val="18"/>
          <w:lang w:val="pt-PT"/>
        </w:rPr>
      </w:pPr>
      <w:r w:rsidRPr="00B6044D">
        <w:rPr>
          <w:rFonts w:cs="Calibri-Bold"/>
          <w:bCs/>
          <w:sz w:val="18"/>
          <w:szCs w:val="18"/>
          <w:lang w:val="pt-PT"/>
        </w:rPr>
        <w:t>Tel. 045.6135100</w:t>
      </w:r>
    </w:p>
    <w:p w14:paraId="4B8D19EA" w14:textId="77777777" w:rsidR="005C3598" w:rsidRPr="00B6044D" w:rsidRDefault="005C3598" w:rsidP="005C3598">
      <w:pPr>
        <w:spacing w:after="0"/>
        <w:rPr>
          <w:rFonts w:cs="Calibri-Bold"/>
          <w:bCs/>
          <w:sz w:val="18"/>
          <w:szCs w:val="18"/>
          <w:lang w:val="pt-PT"/>
        </w:rPr>
        <w:sectPr w:rsidR="005C3598" w:rsidRPr="00B6044D" w:rsidSect="00DB559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3119" w:right="1418" w:bottom="1701" w:left="1418" w:header="907" w:footer="709" w:gutter="0"/>
          <w:cols w:space="708"/>
          <w:titlePg/>
          <w:docGrid w:linePitch="360"/>
        </w:sectPr>
      </w:pPr>
      <w:r w:rsidRPr="00B6044D">
        <w:rPr>
          <w:rFonts w:cs="Calibri-Bold"/>
          <w:bCs/>
          <w:sz w:val="18"/>
          <w:szCs w:val="18"/>
          <w:lang w:val="pt-PT"/>
        </w:rPr>
        <w:t>E-mail: stampa@lidl.it</w:t>
      </w:r>
    </w:p>
    <w:p w14:paraId="7F2812A6" w14:textId="77777777" w:rsidR="005C3598" w:rsidRPr="006E42C5" w:rsidRDefault="005C3598" w:rsidP="005C3598">
      <w:pPr>
        <w:spacing w:after="0"/>
        <w:rPr>
          <w:rFonts w:cs="Calibri-Bold"/>
          <w:bCs/>
          <w:color w:val="44546A" w:themeColor="text2"/>
          <w:sz w:val="18"/>
          <w:szCs w:val="18"/>
          <w:lang w:val="pt-PT"/>
        </w:rPr>
      </w:pPr>
    </w:p>
    <w:p w14:paraId="3F60790B" w14:textId="77777777" w:rsidR="00E21F2A" w:rsidRPr="005C3598" w:rsidRDefault="00E21F2A">
      <w:pPr>
        <w:rPr>
          <w:lang w:val="pt-PT"/>
        </w:rPr>
      </w:pPr>
    </w:p>
    <w:sectPr w:rsidR="00E21F2A" w:rsidRPr="005C3598" w:rsidSect="00896BF9">
      <w:type w:val="continuous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8EAE0" w14:textId="77777777" w:rsidR="005C5949" w:rsidRDefault="00B6044D">
      <w:pPr>
        <w:spacing w:after="0" w:line="240" w:lineRule="auto"/>
      </w:pPr>
      <w:r>
        <w:separator/>
      </w:r>
    </w:p>
  </w:endnote>
  <w:endnote w:type="continuationSeparator" w:id="0">
    <w:p w14:paraId="1A9B8DC1" w14:textId="77777777" w:rsidR="005C5949" w:rsidRDefault="00B60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8D177" w14:textId="77777777" w:rsidR="003D467C" w:rsidRPr="003D467C" w:rsidRDefault="00C23015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503F7A" wp14:editId="369FEE29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DBEB60" id="Gerade Verbindung 4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MbGpcjfAAAACg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805CED" wp14:editId="4779C30B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B520AE" w14:textId="77777777" w:rsidR="003D467C" w:rsidRPr="00832CB5" w:rsidRDefault="00C23015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805CE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43B520AE" w14:textId="77777777" w:rsidR="003D467C" w:rsidRPr="00832CB5" w:rsidRDefault="00C23015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A737E" w14:textId="77777777" w:rsidR="004B6791" w:rsidRDefault="00C23015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A9CA92B" wp14:editId="2712AEF7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68EB6C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" strokecolor="#003f7b" strokeweight=".5pt">
              <v:stroke joinstyle="miter"/>
            </v:line>
          </w:pict>
        </mc:Fallback>
      </mc:AlternateContent>
    </w: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2CEF321" wp14:editId="2851F1B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3D16BE" w14:textId="77777777" w:rsidR="004B6791" w:rsidRPr="00832CB5" w:rsidRDefault="00C23015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EF32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513D16BE" w14:textId="77777777" w:rsidR="004B6791" w:rsidRPr="00832CB5" w:rsidRDefault="00C23015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9ABC7" w14:textId="77777777" w:rsidR="005C5949" w:rsidRDefault="00B6044D">
      <w:pPr>
        <w:spacing w:after="0" w:line="240" w:lineRule="auto"/>
      </w:pPr>
      <w:r>
        <w:separator/>
      </w:r>
    </w:p>
  </w:footnote>
  <w:footnote w:type="continuationSeparator" w:id="0">
    <w:p w14:paraId="6ADE7731" w14:textId="77777777" w:rsidR="005C5949" w:rsidRDefault="00B60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B7FDA" w14:textId="77777777" w:rsidR="003D467C" w:rsidRDefault="00C23015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798212" wp14:editId="2E7FF01D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01321A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OJmpXT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8480" behindDoc="0" locked="0" layoutInCell="1" allowOverlap="1" wp14:anchorId="7D2B60DF" wp14:editId="04305123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56496" wp14:editId="0010A32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B299D9" w14:textId="77777777" w:rsidR="00FD5386" w:rsidRDefault="00C23015" w:rsidP="00FD5386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60C505A7" w14:textId="77777777" w:rsidR="003D467C" w:rsidRPr="003D467C" w:rsidRDefault="00E625E1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56496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6AB299D9" w14:textId="77777777" w:rsidR="00FD5386" w:rsidRDefault="00C23015" w:rsidP="00FD5386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44546A" w:themeColor="text2"/>
                        <w:sz w:val="38"/>
                        <w:szCs w:val="38"/>
                      </w:rPr>
                      <w:t>STAMPA</w:t>
                    </w:r>
                  </w:p>
                  <w:p w14:paraId="60C505A7" w14:textId="77777777" w:rsidR="003D467C" w:rsidRPr="003D467C" w:rsidRDefault="00E625E1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C9BEC" w14:textId="77777777" w:rsidR="004B6791" w:rsidRDefault="00C23015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3C59C2" wp14:editId="174C3C60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1F728" id="Gerade Verbindung 4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86LV19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7456" behindDoc="0" locked="0" layoutInCell="1" allowOverlap="1" wp14:anchorId="62B4DAA2" wp14:editId="4F3455B0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C81CCD" wp14:editId="0905B27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36626" w14:textId="77777777" w:rsidR="008C28B4" w:rsidRDefault="00C23015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43226100" w14:textId="77777777" w:rsidR="00FD5386" w:rsidRPr="000438B9" w:rsidRDefault="00E625E1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  <w:p w14:paraId="18F00263" w14:textId="77777777" w:rsidR="004B6791" w:rsidRPr="003D467C" w:rsidRDefault="00E625E1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C81CC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01736626" w14:textId="77777777" w:rsidR="008C28B4" w:rsidRDefault="00C23015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44546A" w:themeColor="text2"/>
                        <w:sz w:val="38"/>
                        <w:szCs w:val="38"/>
                      </w:rPr>
                      <w:t>STAMPA</w:t>
                    </w:r>
                  </w:p>
                  <w:p w14:paraId="43226100" w14:textId="77777777" w:rsidR="00FD5386" w:rsidRPr="000438B9" w:rsidRDefault="00E625E1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</w:p>
                  <w:p w14:paraId="18F00263" w14:textId="77777777" w:rsidR="004B6791" w:rsidRPr="003D467C" w:rsidRDefault="00E625E1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98"/>
    <w:rsid w:val="001226C3"/>
    <w:rsid w:val="00142D9F"/>
    <w:rsid w:val="00272D60"/>
    <w:rsid w:val="00386C98"/>
    <w:rsid w:val="004D33C7"/>
    <w:rsid w:val="00587D8E"/>
    <w:rsid w:val="005C3598"/>
    <w:rsid w:val="005C5949"/>
    <w:rsid w:val="005D48B8"/>
    <w:rsid w:val="00705B41"/>
    <w:rsid w:val="009F4D64"/>
    <w:rsid w:val="00A858EF"/>
    <w:rsid w:val="00B6044D"/>
    <w:rsid w:val="00C23015"/>
    <w:rsid w:val="00E21F2A"/>
    <w:rsid w:val="00E625E1"/>
    <w:rsid w:val="00E7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05E9"/>
  <w15:chartTrackingRefBased/>
  <w15:docId w15:val="{2478CB26-ADFE-463A-9848-04904C78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3598"/>
    <w:pPr>
      <w:spacing w:after="200" w:line="276" w:lineRule="auto"/>
    </w:pPr>
    <w:rPr>
      <w:rFonts w:ascii="Calibri" w:hAnsi="Calibri" w:cs="Times New Roman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3598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3598"/>
    <w:rPr>
      <w:rFonts w:ascii="Calibri" w:hAnsi="Calibri" w:cs="Times New Roman"/>
      <w:lang w:val="de-DE"/>
    </w:rPr>
  </w:style>
  <w:style w:type="paragraph" w:styleId="Pidipagina">
    <w:name w:val="footer"/>
    <w:basedOn w:val="Normale"/>
    <w:link w:val="PidipaginaCarattere"/>
    <w:uiPriority w:val="99"/>
    <w:unhideWhenUsed/>
    <w:rsid w:val="005C3598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359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e"/>
    <w:uiPriority w:val="99"/>
    <w:rsid w:val="005C35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8EF"/>
    <w:rPr>
      <w:rFonts w:ascii="Segoe UI" w:hAnsi="Segoe UI" w:cs="Segoe UI"/>
      <w:sz w:val="18"/>
      <w:szCs w:val="18"/>
      <w:lang w:val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272D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2D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2D60"/>
    <w:rPr>
      <w:rFonts w:ascii="Calibri" w:hAnsi="Calibri" w:cs="Times New Roman"/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2D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2D60"/>
    <w:rPr>
      <w:rFonts w:ascii="Calibri" w:hAnsi="Calibri" w:cs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FILIPPO</dc:creator>
  <cp:keywords/>
  <dc:description/>
  <cp:lastModifiedBy>FIORINI, LAURA</cp:lastModifiedBy>
  <cp:revision>8</cp:revision>
  <dcterms:created xsi:type="dcterms:W3CDTF">2020-10-07T07:02:00Z</dcterms:created>
  <dcterms:modified xsi:type="dcterms:W3CDTF">2020-10-13T07:18:00Z</dcterms:modified>
</cp:coreProperties>
</file>