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04E61" w14:textId="77777777" w:rsidR="00B779AD" w:rsidRDefault="00B779AD" w:rsidP="00B779AD">
      <w:pPr>
        <w:pStyle w:val="EinfAbs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LIDL INAUGURA TRE NUOVI PUNTI VENDITA: </w:t>
      </w:r>
    </w:p>
    <w:p w14:paraId="0CFF0475" w14:textId="1C019ECC" w:rsidR="00B779AD" w:rsidRPr="002467B8" w:rsidRDefault="00B779AD" w:rsidP="00B779AD">
      <w:pPr>
        <w:pStyle w:val="EinfAbs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TAGLIO DEL NASTRO A COLOGNO MONZESE (m</w:t>
      </w:r>
      <w:r w:rsidR="007519A3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>i</w:t>
      </w:r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), PIOVENE ROCCHETTE (vi) E CATANIA </w:t>
      </w:r>
    </w:p>
    <w:p w14:paraId="66A852AA" w14:textId="39983BC3" w:rsidR="00B779AD" w:rsidRDefault="00B779AD" w:rsidP="00B779AD">
      <w:pPr>
        <w:pStyle w:val="EinfAbs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Prosegue da Nord a Sud il piano di sviluppo dell'Insegna con tre nuove aperture in contemporanea giovedì 10 dicembre</w:t>
      </w:r>
      <w:bookmarkEnd w:id="0"/>
      <w:r w:rsidR="00D65238">
        <w:rPr>
          <w:rFonts w:cs="Calibri-Bold"/>
          <w:bCs/>
          <w:i/>
          <w:sz w:val="28"/>
          <w:szCs w:val="28"/>
          <w:lang w:val="it-IT"/>
        </w:rPr>
        <w:t xml:space="preserve">. </w:t>
      </w:r>
      <w:bookmarkStart w:id="1" w:name="_Hlk57904992"/>
      <w:r w:rsidR="00D65238">
        <w:rPr>
          <w:rFonts w:cs="Calibri-Bold"/>
          <w:bCs/>
          <w:i/>
          <w:sz w:val="28"/>
          <w:szCs w:val="28"/>
          <w:lang w:val="it-IT"/>
        </w:rPr>
        <w:t>Operazione da oltre 19 milioni di euro.</w:t>
      </w:r>
      <w:bookmarkEnd w:id="1"/>
    </w:p>
    <w:p w14:paraId="6D93FEB3" w14:textId="77777777" w:rsidR="00B779AD" w:rsidRPr="00B779AD" w:rsidRDefault="00B779AD" w:rsidP="00B779A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</w:p>
    <w:p w14:paraId="62784229" w14:textId="7AB060DF" w:rsidR="00B779AD" w:rsidRDefault="00B779AD" w:rsidP="00B779AD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Cologno Monzese (M</w:t>
      </w:r>
      <w:r w:rsidR="007519A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I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), 10 dicembre </w:t>
      </w:r>
      <w:r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2020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– Anche a ridosso delle festività natalizie, Lidl non arresta il suo piano di sviluppo e cala un altro tris di aperture da Nord a Sud: Cologno Monzese (MB), Piovene Rocchette (VI) e Catania. L’investimento complessivo sostenuto dall’Azienda per la realizzazione di questi tre nuovi punti vendita, inaugurati 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10 dicembre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Pr="00D6523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ammonta a </w:t>
      </w:r>
      <w:r w:rsidRPr="00D65238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oltre </w:t>
      </w:r>
      <w:r w:rsidR="00D65238" w:rsidRPr="00D65238">
        <w:rPr>
          <w:rFonts w:ascii="Calibri" w:hAnsi="Calibri" w:cs="Calibri-Bold"/>
          <w:b/>
          <w:color w:val="auto"/>
          <w:sz w:val="22"/>
          <w:szCs w:val="22"/>
          <w:lang w:val="it-IT"/>
        </w:rPr>
        <w:t>19</w:t>
      </w:r>
      <w:r w:rsidRPr="00D65238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milioni di euro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 </w:t>
      </w:r>
      <w:r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rientrano nel piano di sviluppo denominato </w:t>
      </w:r>
      <w:r w:rsidRPr="000804E6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Pr="000804E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fondato su tre pilastri:</w:t>
      </w:r>
    </w:p>
    <w:p w14:paraId="3A8F0925" w14:textId="77777777" w:rsidR="00B779AD" w:rsidRDefault="00B779AD" w:rsidP="00B779A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1C5E99A6" w14:textId="77777777" w:rsidR="00B779AD" w:rsidRDefault="00B779AD" w:rsidP="00B779A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74393A89" w14:textId="77777777" w:rsidR="00B779AD" w:rsidRPr="002C350E" w:rsidRDefault="00B779AD" w:rsidP="00B779AD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Italy nei circa 11.200 punti vendita dell’Insegna nel mondo.</w:t>
      </w: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D70E719" w14:textId="03AD8A69" w:rsidR="00316529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007759">
        <w:rPr>
          <w:rFonts w:cs="Calibri-Bold"/>
          <w:b/>
          <w:bCs/>
          <w:color w:val="1F497D" w:themeColor="text2"/>
          <w:sz w:val="28"/>
          <w:szCs w:val="26"/>
          <w:lang w:val="it-IT"/>
        </w:rPr>
        <w:t>Cologno Monzese</w:t>
      </w:r>
      <w:r w:rsidR="00B779AD">
        <w:rPr>
          <w:rFonts w:cs="Calibri-Bold"/>
          <w:b/>
          <w:bCs/>
          <w:color w:val="1F497D" w:themeColor="text2"/>
          <w:sz w:val="28"/>
          <w:szCs w:val="26"/>
          <w:lang w:val="it-IT"/>
        </w:rPr>
        <w:t>: 26 nuovi assunti</w:t>
      </w:r>
    </w:p>
    <w:p w14:paraId="49554657" w14:textId="4AA16D47" w:rsidR="004D58F4" w:rsidRPr="004D4EDD" w:rsidRDefault="004D58F4" w:rsidP="00EB2C16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punto vendita Lidl di </w:t>
      </w:r>
      <w:r w:rsidR="00007759">
        <w:rPr>
          <w:rFonts w:ascii="Calibri" w:hAnsi="Calibri" w:cs="Calibri-Bold"/>
          <w:bCs/>
          <w:color w:val="auto"/>
          <w:sz w:val="22"/>
          <w:szCs w:val="22"/>
          <w:lang w:val="it-IT"/>
        </w:rPr>
        <w:t>Cologno Monzese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(M</w:t>
      </w:r>
      <w:r w:rsidR="007519A3">
        <w:rPr>
          <w:rFonts w:ascii="Calibri" w:hAnsi="Calibri" w:cs="Calibri-Bold"/>
          <w:bCs/>
          <w:color w:val="auto"/>
          <w:sz w:val="22"/>
          <w:szCs w:val="22"/>
          <w:lang w:val="it-IT"/>
        </w:rPr>
        <w:t>I</w:t>
      </w:r>
      <w:bookmarkStart w:id="2" w:name="_GoBack"/>
      <w:bookmarkEnd w:id="2"/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>)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</w:t>
      </w:r>
      <w:r w:rsidR="00007759">
        <w:rPr>
          <w:rFonts w:ascii="Calibri" w:hAnsi="Calibri" w:cs="Calibri-Bold"/>
          <w:bCs/>
          <w:color w:val="auto"/>
          <w:sz w:val="22"/>
          <w:szCs w:val="22"/>
          <w:lang w:val="it-IT"/>
        </w:rPr>
        <w:t>i trova in Via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Imbersago, 12</w:t>
      </w:r>
      <w:r w:rsidR="0000775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00775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 linea con la filosofia aziendale che predilige operazioni di riqualificazione di aree già edificate a consumo di suolo pari a zero, </w:t>
      </w:r>
      <w:r w:rsidR="00007759">
        <w:rPr>
          <w:rFonts w:ascii="Calibri" w:hAnsi="Calibri" w:cs="Calibri-Bold"/>
          <w:bCs/>
          <w:color w:val="auto"/>
          <w:sz w:val="22"/>
          <w:szCs w:val="22"/>
          <w:lang w:val="it-IT"/>
        </w:rPr>
        <w:t>sorge su un’area precedentemente occupata da un ex fabbrica di vernici ormai dismessa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4D4ED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taglio del nastro del nuovo Lidl si è tenuto </w:t>
      </w:r>
      <w:r w:rsidR="004D4EDD">
        <w:rPr>
          <w:rFonts w:ascii="Calibri" w:hAnsi="Calibri" w:cs="Calibri-Bold"/>
          <w:b/>
          <w:color w:val="auto"/>
          <w:sz w:val="22"/>
          <w:szCs w:val="22"/>
          <w:lang w:val="it-IT"/>
        </w:rPr>
        <w:t>giovedì 1</w:t>
      </w:r>
      <w:r w:rsidR="00007759">
        <w:rPr>
          <w:rFonts w:ascii="Calibri" w:hAnsi="Calibri" w:cs="Calibri-Bold"/>
          <w:b/>
          <w:color w:val="auto"/>
          <w:sz w:val="22"/>
          <w:szCs w:val="22"/>
          <w:lang w:val="it-IT"/>
        </w:rPr>
        <w:t>0</w:t>
      </w:r>
      <w:r w:rsidR="004D4EDD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00775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dicembre </w:t>
      </w:r>
      <w:r w:rsidR="0000775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alla presenza del </w:t>
      </w:r>
      <w:r w:rsidR="00007759" w:rsidRPr="004B3CAE">
        <w:rPr>
          <w:rFonts w:ascii="Calibri" w:hAnsi="Calibri" w:cs="Calibri-Bold"/>
          <w:b/>
          <w:color w:val="auto"/>
          <w:sz w:val="22"/>
          <w:szCs w:val="22"/>
          <w:lang w:val="it-IT"/>
        </w:rPr>
        <w:t>Sindaco Angelo Rocchi</w:t>
      </w:r>
      <w:r w:rsidR="004D4EDD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. </w:t>
      </w:r>
      <w:r w:rsidR="004D4EDD">
        <w:rPr>
          <w:rFonts w:ascii="Calibri" w:hAnsi="Calibri" w:cs="Calibri-Bold"/>
          <w:bCs/>
          <w:color w:val="auto"/>
          <w:sz w:val="22"/>
          <w:szCs w:val="22"/>
          <w:lang w:val="it-IT"/>
        </w:rPr>
        <w:t>Particolarmente positiv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>o</w:t>
      </w:r>
      <w:r w:rsidR="0000775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risvolto occupazionale, specialmente in un periodo così delicato,</w:t>
      </w:r>
      <w:r w:rsidR="004D4ED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0775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 </w:t>
      </w:r>
      <w:r w:rsidR="00B779AD" w:rsidRPr="00B779AD">
        <w:rPr>
          <w:rFonts w:ascii="Calibri" w:hAnsi="Calibri" w:cs="Calibri-Bold"/>
          <w:b/>
          <w:color w:val="auto"/>
          <w:sz w:val="22"/>
          <w:szCs w:val="22"/>
          <w:lang w:val="it-IT"/>
        </w:rPr>
        <w:t>26</w:t>
      </w:r>
      <w:r w:rsidR="00007759" w:rsidRPr="00B779AD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neoassunti che </w:t>
      </w:r>
      <w:r w:rsidR="00315B71">
        <w:rPr>
          <w:rFonts w:ascii="Calibri" w:hAnsi="Calibri" w:cs="Calibri-Bold"/>
          <w:b/>
          <w:color w:val="auto"/>
          <w:sz w:val="22"/>
          <w:szCs w:val="22"/>
          <w:lang w:val="it-IT"/>
        </w:rPr>
        <w:t>iniziano</w:t>
      </w:r>
      <w:r w:rsidR="00315B71" w:rsidRPr="00B779AD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007759" w:rsidRPr="00B779AD">
        <w:rPr>
          <w:rFonts w:ascii="Calibri" w:hAnsi="Calibri" w:cs="Calibri-Bold"/>
          <w:b/>
          <w:color w:val="auto"/>
          <w:sz w:val="22"/>
          <w:szCs w:val="22"/>
          <w:lang w:val="it-IT"/>
        </w:rPr>
        <w:t>il proprio percorso professionale proprio grazie alla nuova apertura</w:t>
      </w:r>
      <w:r w:rsidR="00B42880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5DC345F3" w14:textId="049DDC39" w:rsidR="00AC4419" w:rsidRDefault="00AC4419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8B6369D" w14:textId="58CFE5A4" w:rsidR="007870C7" w:rsidRDefault="00B42880" w:rsidP="004D4EDD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L’attenzione </w:t>
      </w:r>
      <w:r w:rsidR="00B779AD">
        <w:rPr>
          <w:rFonts w:ascii="Calibri" w:hAnsi="Calibri" w:cs="Calibri-Bold"/>
          <w:color w:val="auto"/>
          <w:sz w:val="22"/>
          <w:szCs w:val="22"/>
          <w:lang w:val="it-IT"/>
        </w:rPr>
        <w:t>di Lidl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 verso la sostenibilità ambientale e l’efficienza energetica contraddistingue anche questo punto vendita, realizzato secondo una logica totalmente green</w:t>
      </w:r>
      <w:r w:rsidR="00B779AD">
        <w:rPr>
          <w:rFonts w:ascii="Calibri" w:hAnsi="Calibri" w:cs="Calibri-Bold"/>
          <w:color w:val="auto"/>
          <w:sz w:val="22"/>
          <w:szCs w:val="22"/>
          <w:lang w:val="it-IT"/>
        </w:rPr>
        <w:t>.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 </w:t>
      </w:r>
      <w:r w:rsidR="00B779AD">
        <w:rPr>
          <w:rFonts w:ascii="Calibri" w:hAnsi="Calibri" w:cs="Calibri-Bold"/>
          <w:bCs/>
          <w:color w:val="auto"/>
          <w:sz w:val="22"/>
          <w:szCs w:val="22"/>
          <w:lang w:val="it-IT"/>
        </w:rPr>
        <w:t>L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’edificio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ed è dotato di </w:t>
      </w:r>
      <w:r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presenta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un’area vendita di oltre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779AD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1.300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mq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dispone di un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158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Inoltre,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illuminazione. I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754D144D" w14:textId="2910C689" w:rsidR="00B42880" w:rsidRDefault="00B42880" w:rsidP="004D4EDD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</w:p>
    <w:p w14:paraId="039D334A" w14:textId="5606CF6D" w:rsidR="00B42880" w:rsidRDefault="00B42880" w:rsidP="004D4EDD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Da sempre attenta ai suoi clienti</w:t>
      </w:r>
      <w:r w:rsidR="0088132A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alla comunità in cui opera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 Lidl ha creato</w:t>
      </w:r>
      <w:r w:rsidR="004B3C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 collaborazione con l’amministrazione comunale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oltre al nuovo punto vendita, anche una </w:t>
      </w:r>
      <w:r w:rsidRPr="001774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pista ciclabile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</w:t>
      </w:r>
      <w:r w:rsidRPr="00674292">
        <w:rPr>
          <w:rFonts w:ascii="Calibri" w:hAnsi="Calibri" w:cs="Calibri-Bold"/>
          <w:bCs/>
          <w:color w:val="auto"/>
          <w:sz w:val="22"/>
          <w:szCs w:val="22"/>
          <w:lang w:val="it-IT"/>
        </w:rPr>
        <w:t>per favorire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>collegamento al proprio store</w:t>
      </w:r>
      <w:r w:rsidR="004B3C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oltre </w:t>
      </w:r>
      <w:r w:rsidR="00315B71">
        <w:rPr>
          <w:rFonts w:ascii="Calibri" w:hAnsi="Calibri" w:cs="Calibri-Bold"/>
          <w:bCs/>
          <w:color w:val="auto"/>
          <w:sz w:val="22"/>
          <w:szCs w:val="22"/>
          <w:lang w:val="it-IT"/>
        </w:rPr>
        <w:t>ad aver realizzato</w:t>
      </w:r>
      <w:r w:rsidR="004B3C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una nuova rotatoria e </w:t>
      </w:r>
      <w:r w:rsidR="00315B71">
        <w:rPr>
          <w:rFonts w:ascii="Calibri" w:hAnsi="Calibri" w:cs="Calibri-Bold"/>
          <w:bCs/>
          <w:color w:val="auto"/>
          <w:sz w:val="22"/>
          <w:szCs w:val="22"/>
          <w:lang w:val="it-IT"/>
        </w:rPr>
        <w:t>riqualificato i</w:t>
      </w:r>
      <w:r w:rsidR="004B3CAE">
        <w:rPr>
          <w:rFonts w:ascii="Calibri" w:hAnsi="Calibri" w:cs="Calibri-Bold"/>
          <w:bCs/>
          <w:color w:val="auto"/>
          <w:sz w:val="22"/>
          <w:szCs w:val="22"/>
          <w:lang w:val="it-IT"/>
        </w:rPr>
        <w:t>l tratto di viabilità già esistente.</w:t>
      </w:r>
    </w:p>
    <w:p w14:paraId="660826E3" w14:textId="77777777" w:rsidR="007870C7" w:rsidRDefault="007870C7" w:rsidP="006E42C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E2209F" w14:textId="0B87E362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punto vendita Lidl </w:t>
      </w:r>
      <w:r w:rsidR="00666A3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</w:t>
      </w:r>
      <w:r w:rsidR="004B3CAE">
        <w:rPr>
          <w:rFonts w:ascii="Calibri" w:hAnsi="Calibri" w:cs="Calibri-Bold"/>
          <w:bCs/>
          <w:color w:val="auto"/>
          <w:sz w:val="22"/>
          <w:szCs w:val="22"/>
          <w:lang w:val="it-IT"/>
        </w:rPr>
        <w:t>Cologno Monzese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clienti in attesa di entrare nel punto vendita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forniti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5000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gel igienizzante 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per le mani o i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Gli orari di apertura del supermercato sono pensati per garantire sempre il miglior servizio</w:t>
      </w:r>
      <w:r w:rsidR="004B3CA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possibile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dalle 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8:00 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alle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2</w:t>
      </w:r>
      <w:r w:rsidR="0088132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1:3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8:</w:t>
      </w:r>
      <w:r w:rsidR="0088132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30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</w:t>
      </w:r>
      <w:r w:rsidR="0088132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88132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7046A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9324D7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23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07759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0B5A"/>
    <w:rsid w:val="000B2CA6"/>
    <w:rsid w:val="000B3899"/>
    <w:rsid w:val="000C1FE1"/>
    <w:rsid w:val="000C4D97"/>
    <w:rsid w:val="000C6C42"/>
    <w:rsid w:val="000C7083"/>
    <w:rsid w:val="000C7245"/>
    <w:rsid w:val="000E6341"/>
    <w:rsid w:val="000F67E7"/>
    <w:rsid w:val="00105C99"/>
    <w:rsid w:val="00107A26"/>
    <w:rsid w:val="001103F8"/>
    <w:rsid w:val="001167C9"/>
    <w:rsid w:val="001241B5"/>
    <w:rsid w:val="0015267E"/>
    <w:rsid w:val="00153BC8"/>
    <w:rsid w:val="00171C2E"/>
    <w:rsid w:val="00171FA8"/>
    <w:rsid w:val="00173B1B"/>
    <w:rsid w:val="001769EB"/>
    <w:rsid w:val="00177431"/>
    <w:rsid w:val="00181A68"/>
    <w:rsid w:val="00182F03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346BE"/>
    <w:rsid w:val="00244CA2"/>
    <w:rsid w:val="0024740A"/>
    <w:rsid w:val="0025075B"/>
    <w:rsid w:val="00251EEE"/>
    <w:rsid w:val="00254078"/>
    <w:rsid w:val="00254A63"/>
    <w:rsid w:val="00255F30"/>
    <w:rsid w:val="00255FAA"/>
    <w:rsid w:val="00256E76"/>
    <w:rsid w:val="00257AE3"/>
    <w:rsid w:val="00264DE3"/>
    <w:rsid w:val="00265240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C350E"/>
    <w:rsid w:val="002D6A6B"/>
    <w:rsid w:val="002D779A"/>
    <w:rsid w:val="002E526E"/>
    <w:rsid w:val="002F325A"/>
    <w:rsid w:val="002F3A5C"/>
    <w:rsid w:val="002F516C"/>
    <w:rsid w:val="003062A4"/>
    <w:rsid w:val="00310E19"/>
    <w:rsid w:val="00315B71"/>
    <w:rsid w:val="003160B1"/>
    <w:rsid w:val="00316529"/>
    <w:rsid w:val="0031655F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4601C"/>
    <w:rsid w:val="00447819"/>
    <w:rsid w:val="004569A0"/>
    <w:rsid w:val="00460BCA"/>
    <w:rsid w:val="00461B61"/>
    <w:rsid w:val="00464F63"/>
    <w:rsid w:val="0048056B"/>
    <w:rsid w:val="00487BD5"/>
    <w:rsid w:val="004934BF"/>
    <w:rsid w:val="0049612D"/>
    <w:rsid w:val="004A1C5A"/>
    <w:rsid w:val="004B0B31"/>
    <w:rsid w:val="004B3CAE"/>
    <w:rsid w:val="004B6791"/>
    <w:rsid w:val="004C7FE3"/>
    <w:rsid w:val="004D30BC"/>
    <w:rsid w:val="004D4E8D"/>
    <w:rsid w:val="004D4EDD"/>
    <w:rsid w:val="004D58F4"/>
    <w:rsid w:val="004E16C7"/>
    <w:rsid w:val="004E4528"/>
    <w:rsid w:val="004E6A70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74D41"/>
    <w:rsid w:val="005817EF"/>
    <w:rsid w:val="0058276E"/>
    <w:rsid w:val="0058457F"/>
    <w:rsid w:val="005A1874"/>
    <w:rsid w:val="005A3096"/>
    <w:rsid w:val="005A54EF"/>
    <w:rsid w:val="005C0E63"/>
    <w:rsid w:val="005D1258"/>
    <w:rsid w:val="005D18FE"/>
    <w:rsid w:val="005D2763"/>
    <w:rsid w:val="005E0E28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66A35"/>
    <w:rsid w:val="00672E99"/>
    <w:rsid w:val="00674292"/>
    <w:rsid w:val="006769B5"/>
    <w:rsid w:val="006805C2"/>
    <w:rsid w:val="00683F54"/>
    <w:rsid w:val="006947AB"/>
    <w:rsid w:val="006A7843"/>
    <w:rsid w:val="006B7030"/>
    <w:rsid w:val="006B7AB8"/>
    <w:rsid w:val="006D4394"/>
    <w:rsid w:val="006E2B61"/>
    <w:rsid w:val="006E42C5"/>
    <w:rsid w:val="007046A0"/>
    <w:rsid w:val="00704D5B"/>
    <w:rsid w:val="00705351"/>
    <w:rsid w:val="007060CE"/>
    <w:rsid w:val="00712F5E"/>
    <w:rsid w:val="00730ED9"/>
    <w:rsid w:val="00733CE1"/>
    <w:rsid w:val="007443A4"/>
    <w:rsid w:val="007519A3"/>
    <w:rsid w:val="00761FE6"/>
    <w:rsid w:val="00764ECB"/>
    <w:rsid w:val="00766453"/>
    <w:rsid w:val="00767921"/>
    <w:rsid w:val="00770F6B"/>
    <w:rsid w:val="007718A1"/>
    <w:rsid w:val="00772C30"/>
    <w:rsid w:val="007870C7"/>
    <w:rsid w:val="00791C40"/>
    <w:rsid w:val="007A160D"/>
    <w:rsid w:val="007A6C9E"/>
    <w:rsid w:val="007B25DA"/>
    <w:rsid w:val="007B71D7"/>
    <w:rsid w:val="007B76AE"/>
    <w:rsid w:val="007C1315"/>
    <w:rsid w:val="007D3DD0"/>
    <w:rsid w:val="007D536B"/>
    <w:rsid w:val="007D53DB"/>
    <w:rsid w:val="007F6D48"/>
    <w:rsid w:val="00803451"/>
    <w:rsid w:val="008040D9"/>
    <w:rsid w:val="00817A00"/>
    <w:rsid w:val="00821E7C"/>
    <w:rsid w:val="00832CB5"/>
    <w:rsid w:val="00835707"/>
    <w:rsid w:val="00835F47"/>
    <w:rsid w:val="00846371"/>
    <w:rsid w:val="0084746E"/>
    <w:rsid w:val="00851B0A"/>
    <w:rsid w:val="00877B4F"/>
    <w:rsid w:val="0088132A"/>
    <w:rsid w:val="008834FB"/>
    <w:rsid w:val="00887485"/>
    <w:rsid w:val="00891258"/>
    <w:rsid w:val="00894A70"/>
    <w:rsid w:val="00894E87"/>
    <w:rsid w:val="008A1261"/>
    <w:rsid w:val="008A4EBB"/>
    <w:rsid w:val="008A70A4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48A7"/>
    <w:rsid w:val="008F5D82"/>
    <w:rsid w:val="00904237"/>
    <w:rsid w:val="0091168E"/>
    <w:rsid w:val="00917877"/>
    <w:rsid w:val="00921CB4"/>
    <w:rsid w:val="0093165D"/>
    <w:rsid w:val="009324D7"/>
    <w:rsid w:val="0093340C"/>
    <w:rsid w:val="00933BC4"/>
    <w:rsid w:val="00936CCD"/>
    <w:rsid w:val="009430F7"/>
    <w:rsid w:val="0094348E"/>
    <w:rsid w:val="0095498A"/>
    <w:rsid w:val="00956053"/>
    <w:rsid w:val="009566E0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739"/>
    <w:rsid w:val="009B2587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1BC9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57E0D"/>
    <w:rsid w:val="00A91D97"/>
    <w:rsid w:val="00A96258"/>
    <w:rsid w:val="00A974BF"/>
    <w:rsid w:val="00AA0D98"/>
    <w:rsid w:val="00AA20C1"/>
    <w:rsid w:val="00AA29AA"/>
    <w:rsid w:val="00AA5114"/>
    <w:rsid w:val="00AB71BA"/>
    <w:rsid w:val="00AB7F62"/>
    <w:rsid w:val="00AC4419"/>
    <w:rsid w:val="00AD307B"/>
    <w:rsid w:val="00AE1952"/>
    <w:rsid w:val="00AE3759"/>
    <w:rsid w:val="00AE43D2"/>
    <w:rsid w:val="00AE5AD6"/>
    <w:rsid w:val="00AE7DC5"/>
    <w:rsid w:val="00AF037F"/>
    <w:rsid w:val="00AF2A99"/>
    <w:rsid w:val="00B00AFD"/>
    <w:rsid w:val="00B0160E"/>
    <w:rsid w:val="00B0170B"/>
    <w:rsid w:val="00B0321F"/>
    <w:rsid w:val="00B1096B"/>
    <w:rsid w:val="00B16AE1"/>
    <w:rsid w:val="00B24737"/>
    <w:rsid w:val="00B306AF"/>
    <w:rsid w:val="00B4063B"/>
    <w:rsid w:val="00B42880"/>
    <w:rsid w:val="00B44D8C"/>
    <w:rsid w:val="00B458F2"/>
    <w:rsid w:val="00B50002"/>
    <w:rsid w:val="00B61A84"/>
    <w:rsid w:val="00B668C1"/>
    <w:rsid w:val="00B74901"/>
    <w:rsid w:val="00B76889"/>
    <w:rsid w:val="00B779AD"/>
    <w:rsid w:val="00B84BE4"/>
    <w:rsid w:val="00B87654"/>
    <w:rsid w:val="00B87D7E"/>
    <w:rsid w:val="00B90652"/>
    <w:rsid w:val="00BA030F"/>
    <w:rsid w:val="00BA4995"/>
    <w:rsid w:val="00BA6EB1"/>
    <w:rsid w:val="00BA7A07"/>
    <w:rsid w:val="00BB6989"/>
    <w:rsid w:val="00BB7EE9"/>
    <w:rsid w:val="00BC26FA"/>
    <w:rsid w:val="00BC3786"/>
    <w:rsid w:val="00BD500F"/>
    <w:rsid w:val="00BF2367"/>
    <w:rsid w:val="00BF2955"/>
    <w:rsid w:val="00BF3706"/>
    <w:rsid w:val="00C118D7"/>
    <w:rsid w:val="00C20E9A"/>
    <w:rsid w:val="00C249BC"/>
    <w:rsid w:val="00C31681"/>
    <w:rsid w:val="00C51F22"/>
    <w:rsid w:val="00C61D91"/>
    <w:rsid w:val="00C778E1"/>
    <w:rsid w:val="00C86991"/>
    <w:rsid w:val="00C8774D"/>
    <w:rsid w:val="00C94B5F"/>
    <w:rsid w:val="00C95D9D"/>
    <w:rsid w:val="00CB2007"/>
    <w:rsid w:val="00CD0F12"/>
    <w:rsid w:val="00CD6B04"/>
    <w:rsid w:val="00CD7684"/>
    <w:rsid w:val="00CE1C60"/>
    <w:rsid w:val="00CF1A14"/>
    <w:rsid w:val="00D0635C"/>
    <w:rsid w:val="00D06793"/>
    <w:rsid w:val="00D0699A"/>
    <w:rsid w:val="00D146FB"/>
    <w:rsid w:val="00D213BD"/>
    <w:rsid w:val="00D22C5C"/>
    <w:rsid w:val="00D27995"/>
    <w:rsid w:val="00D31699"/>
    <w:rsid w:val="00D35B12"/>
    <w:rsid w:val="00D45AAC"/>
    <w:rsid w:val="00D53813"/>
    <w:rsid w:val="00D57B2C"/>
    <w:rsid w:val="00D6078F"/>
    <w:rsid w:val="00D65238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B46"/>
    <w:rsid w:val="00DD0E11"/>
    <w:rsid w:val="00DD1EBB"/>
    <w:rsid w:val="00DE3421"/>
    <w:rsid w:val="00DE56DD"/>
    <w:rsid w:val="00DF3D08"/>
    <w:rsid w:val="00DF46D9"/>
    <w:rsid w:val="00E01311"/>
    <w:rsid w:val="00E0460F"/>
    <w:rsid w:val="00E07D37"/>
    <w:rsid w:val="00E20156"/>
    <w:rsid w:val="00E21AFD"/>
    <w:rsid w:val="00E269C9"/>
    <w:rsid w:val="00E342E9"/>
    <w:rsid w:val="00E4205F"/>
    <w:rsid w:val="00E42678"/>
    <w:rsid w:val="00E52299"/>
    <w:rsid w:val="00E527C1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13AA"/>
    <w:rsid w:val="00E92C28"/>
    <w:rsid w:val="00E96CA5"/>
    <w:rsid w:val="00EA6353"/>
    <w:rsid w:val="00EB0559"/>
    <w:rsid w:val="00EB2C16"/>
    <w:rsid w:val="00EC3840"/>
    <w:rsid w:val="00EC4CE1"/>
    <w:rsid w:val="00ED1B20"/>
    <w:rsid w:val="00ED20A6"/>
    <w:rsid w:val="00ED229D"/>
    <w:rsid w:val="00ED4AB7"/>
    <w:rsid w:val="00EE4F5C"/>
    <w:rsid w:val="00EE6CDC"/>
    <w:rsid w:val="00EF2FB0"/>
    <w:rsid w:val="00EF6391"/>
    <w:rsid w:val="00F027B9"/>
    <w:rsid w:val="00F16C0E"/>
    <w:rsid w:val="00F17DDA"/>
    <w:rsid w:val="00F2625C"/>
    <w:rsid w:val="00F3413C"/>
    <w:rsid w:val="00F47C01"/>
    <w:rsid w:val="00F5038E"/>
    <w:rsid w:val="00F77BEC"/>
    <w:rsid w:val="00F82CC1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E7A32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358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fcf04dab-dc09-4c96-8051-2bc2fa59da3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F1A7222-CD23-42D5-BF1D-654C54303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3730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17</cp:revision>
  <cp:lastPrinted>2020-09-22T08:10:00Z</cp:lastPrinted>
  <dcterms:created xsi:type="dcterms:W3CDTF">2020-11-02T15:26:00Z</dcterms:created>
  <dcterms:modified xsi:type="dcterms:W3CDTF">2020-12-03T16:11:00Z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