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36487" w14:textId="48C0BFFD" w:rsidR="00F55036" w:rsidRDefault="006E0B52" w:rsidP="006E0B52">
      <w:pPr>
        <w:pStyle w:val="EinfAbs"/>
        <w:ind w:left="720" w:firstLine="696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TOP EMPLOYER 2022: LIDL ITALIA SI CONFERMA TRA LE AZIENDE MIGLIORI</w:t>
      </w:r>
    </w:p>
    <w:p w14:paraId="35C42505" w14:textId="0DF6741B" w:rsidR="007147E6" w:rsidRPr="0082330D" w:rsidRDefault="007147E6" w:rsidP="007147E6">
      <w:pPr>
        <w:spacing w:after="0"/>
        <w:jc w:val="center"/>
        <w:rPr>
          <w:rFonts w:cs="Calibri-Bold"/>
          <w:bCs/>
          <w:i/>
          <w:sz w:val="28"/>
          <w:szCs w:val="30"/>
          <w:lang w:val="it-IT"/>
        </w:rPr>
      </w:pPr>
      <w:r>
        <w:rPr>
          <w:rFonts w:cs="Calibri-Bold"/>
          <w:bCs/>
          <w:i/>
          <w:sz w:val="28"/>
          <w:szCs w:val="30"/>
          <w:lang w:val="it-IT"/>
        </w:rPr>
        <w:t>Per il sesto anno consecutivo, l’Azienda si</w:t>
      </w:r>
      <w:r w:rsidRPr="0082330D">
        <w:rPr>
          <w:rFonts w:cs="Calibri-Bold"/>
          <w:bCs/>
          <w:i/>
          <w:sz w:val="28"/>
          <w:szCs w:val="30"/>
          <w:lang w:val="it-IT"/>
        </w:rPr>
        <w:t xml:space="preserve"> aggiudica la certificazione</w:t>
      </w:r>
      <w:r>
        <w:rPr>
          <w:rFonts w:cs="Calibri-Bold"/>
          <w:bCs/>
          <w:i/>
          <w:sz w:val="28"/>
          <w:szCs w:val="30"/>
          <w:lang w:val="it-IT"/>
        </w:rPr>
        <w:t xml:space="preserve"> delle eccellenze HR assegnata dal Top Employe</w:t>
      </w:r>
      <w:r w:rsidRPr="008012DB">
        <w:rPr>
          <w:rFonts w:cs="Calibri-Bold"/>
          <w:bCs/>
          <w:i/>
          <w:sz w:val="28"/>
          <w:szCs w:val="30"/>
          <w:lang w:val="it-IT"/>
        </w:rPr>
        <w:t>rs</w:t>
      </w:r>
      <w:r>
        <w:rPr>
          <w:rFonts w:cs="Calibri-Bold"/>
          <w:bCs/>
          <w:i/>
          <w:sz w:val="28"/>
          <w:szCs w:val="30"/>
          <w:lang w:val="it-IT"/>
        </w:rPr>
        <w:t xml:space="preserve"> Institute</w:t>
      </w:r>
    </w:p>
    <w:p w14:paraId="62478CAF" w14:textId="77777777" w:rsidR="00847C33" w:rsidRPr="006C5A07" w:rsidRDefault="00847C3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72DC0446" w14:textId="0311C5E6" w:rsidR="00C45C44" w:rsidRPr="0038730C" w:rsidRDefault="00B17161" w:rsidP="003110AE">
      <w:pPr>
        <w:pStyle w:val="EinfAbs"/>
        <w:jc w:val="both"/>
        <w:rPr>
          <w:rFonts w:asciiTheme="minorHAnsi" w:hAnsiTheme="minorHAnsi" w:cstheme="minorHAnsi"/>
          <w:color w:val="auto"/>
          <w:sz w:val="22"/>
          <w:szCs w:val="22"/>
          <w:lang w:val="it-IT"/>
        </w:rPr>
      </w:pPr>
      <w:r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</w:t>
      </w:r>
      <w:r w:rsidR="00F55036"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VR</w:t>
      </w:r>
      <w:r w:rsidR="00F55036"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21</w:t>
      </w:r>
      <w:r w:rsidR="00924B99"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gennaio </w:t>
      </w:r>
      <w:r w:rsidR="00FF0751"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="004F6699" w:rsidRPr="0007455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bookmarkStart w:id="0" w:name="_Hlk80869457"/>
      <w:r w:rsidR="00FF0751" w:rsidRPr="0055629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Lidl Italia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di supermercati leader nella GDO con </w:t>
      </w:r>
      <w:r w:rsidR="00DA3B3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70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0 punti vendita nel Paese, </w:t>
      </w:r>
      <w:bookmarkEnd w:id="0"/>
      <w:r w:rsidR="00556290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ha </w:t>
      </w:r>
      <w:r w:rsidR="00924B9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ottenuto per il sesto anno consecutivo il prestigioso riconoscimento di Top Employer.</w:t>
      </w:r>
      <w:r w:rsidR="00924B99" w:rsidRPr="00F845D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F845DC" w:rsidRPr="00F845D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Il premio viene </w:t>
      </w:r>
      <w:r w:rsidR="00924B99" w:rsidRPr="00F845DC">
        <w:rPr>
          <w:rFonts w:asciiTheme="minorHAnsi" w:hAnsiTheme="minorHAnsi" w:cstheme="minorHAnsi"/>
          <w:color w:val="auto"/>
          <w:sz w:val="22"/>
          <w:szCs w:val="22"/>
          <w:lang w:val="it-IT"/>
        </w:rPr>
        <w:t>attribuit</w:t>
      </w:r>
      <w:r w:rsidR="00F845DC">
        <w:rPr>
          <w:rFonts w:asciiTheme="minorHAnsi" w:hAnsiTheme="minorHAnsi" w:cstheme="minorHAnsi"/>
          <w:color w:val="auto"/>
          <w:sz w:val="22"/>
          <w:szCs w:val="22"/>
          <w:lang w:val="it-IT"/>
        </w:rPr>
        <w:t>o</w:t>
      </w:r>
      <w:r w:rsidR="004F6699">
        <w:rPr>
          <w:rFonts w:asciiTheme="minorHAnsi" w:hAnsiTheme="minorHAnsi" w:cstheme="minorHAnsi"/>
          <w:color w:val="auto"/>
          <w:sz w:val="22"/>
          <w:szCs w:val="22"/>
          <w:lang w:val="it-IT"/>
        </w:rPr>
        <w:t>, in seguito a</w:t>
      </w:r>
      <w:r w:rsidR="00924B99" w:rsidRP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3110AE" w:rsidRP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>un’approfondita</w:t>
      </w:r>
      <w:r w:rsid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3110AE" w:rsidRP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analisi </w:t>
      </w:r>
      <w:r w:rsid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e </w:t>
      </w:r>
      <w:r w:rsidR="004F6699">
        <w:rPr>
          <w:rFonts w:asciiTheme="minorHAnsi" w:hAnsiTheme="minorHAnsi" w:cstheme="minorHAnsi"/>
          <w:color w:val="auto"/>
          <w:sz w:val="22"/>
          <w:szCs w:val="22"/>
          <w:lang w:val="it-IT"/>
        </w:rPr>
        <w:t>a</w:t>
      </w:r>
      <w:r w:rsid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un</w:t>
      </w:r>
      <w:r w:rsidR="00924B99" w:rsidRP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rigoroso iter di val</w:t>
      </w:r>
      <w:r w:rsid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>utazione</w:t>
      </w:r>
      <w:r w:rsidR="004F6699">
        <w:rPr>
          <w:rFonts w:asciiTheme="minorHAnsi" w:hAnsiTheme="minorHAnsi" w:cstheme="minorHAnsi"/>
          <w:color w:val="auto"/>
          <w:sz w:val="22"/>
          <w:szCs w:val="22"/>
          <w:lang w:val="it-IT"/>
        </w:rPr>
        <w:t>,</w:t>
      </w:r>
      <w:r w:rsidR="00924B99" w:rsidRP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>da</w:t>
      </w:r>
      <w:r w:rsidR="003110AE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parte de</w:t>
      </w:r>
      <w:r w:rsid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l </w:t>
      </w:r>
      <w:hyperlink r:id="rId10" w:history="1">
        <w:r w:rsidR="00924B99" w:rsidRPr="00AF3AA0">
          <w:rPr>
            <w:rStyle w:val="Collegamentoipertestuale"/>
            <w:rFonts w:asciiTheme="minorHAnsi" w:hAnsiTheme="minorHAnsi" w:cstheme="minorHAnsi"/>
            <w:sz w:val="22"/>
            <w:szCs w:val="22"/>
            <w:lang w:val="it-IT"/>
          </w:rPr>
          <w:t>Top Employers Institute</w:t>
        </w:r>
      </w:hyperlink>
      <w:r w:rsidR="00AF3AA0">
        <w:rPr>
          <w:rFonts w:asciiTheme="minorHAnsi" w:hAnsiTheme="minorHAnsi" w:cstheme="minorHAnsi"/>
          <w:color w:val="auto"/>
          <w:sz w:val="22"/>
          <w:szCs w:val="22"/>
          <w:lang w:val="it-IT"/>
        </w:rPr>
        <w:t>,</w:t>
      </w:r>
      <w:r w:rsidR="00924B99" w:rsidRPr="00924B9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ente internazionale di certificazione delle eccellenze HR. </w:t>
      </w:r>
      <w:r w:rsidR="001B4410" w:rsidRPr="00152BA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Per l’anno 2022</w:t>
      </w:r>
      <w:r w:rsid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l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’Azienda </w:t>
      </w:r>
      <w:r w:rsid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>è stata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inserita</w:t>
      </w:r>
      <w:r w:rsid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>tra i “</w:t>
      </w:r>
      <w:r w:rsidR="001B4410" w:rsidRPr="003110A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Top Employers Italia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” </w:t>
      </w:r>
      <w:r w:rsid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>e</w:t>
      </w:r>
      <w:r w:rsidR="00670B36">
        <w:rPr>
          <w:rFonts w:asciiTheme="minorHAnsi" w:hAnsiTheme="minorHAnsi" w:cstheme="minorHAnsi"/>
          <w:color w:val="auto"/>
          <w:sz w:val="22"/>
          <w:szCs w:val="22"/>
          <w:lang w:val="it-IT"/>
        </w:rPr>
        <w:t>, avendo ottenuto</w:t>
      </w:r>
      <w:r w:rsidR="00670B36" w:rsidRP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l</w:t>
      </w:r>
      <w:r w:rsidR="00F845D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o stesso riconoscimento </w:t>
      </w:r>
      <w:r w:rsidR="00670B36" w:rsidRP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nazionale in </w:t>
      </w:r>
      <w:r w:rsidR="00670B36">
        <w:rPr>
          <w:rFonts w:asciiTheme="minorHAnsi" w:hAnsiTheme="minorHAnsi" w:cstheme="minorHAnsi"/>
          <w:color w:val="auto"/>
          <w:sz w:val="22"/>
          <w:szCs w:val="22"/>
          <w:lang w:val="it-IT"/>
        </w:rPr>
        <w:t>più di</w:t>
      </w:r>
      <w:r w:rsidR="00670B36" w:rsidRP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5 Paesi Europei</w:t>
      </w:r>
      <w:r w:rsidR="00670B36">
        <w:rPr>
          <w:rFonts w:asciiTheme="minorHAnsi" w:hAnsiTheme="minorHAnsi" w:cstheme="minorHAnsi"/>
          <w:color w:val="auto"/>
          <w:sz w:val="22"/>
          <w:szCs w:val="22"/>
          <w:lang w:val="it-IT"/>
        </w:rPr>
        <w:t>,</w:t>
      </w:r>
      <w:r w:rsidR="00670B36" w:rsidRP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38730C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rientra anche 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>tra i “</w:t>
      </w:r>
      <w:r w:rsidR="001B4410" w:rsidRPr="003110AE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Top Employers Europe</w:t>
      </w:r>
      <w:r w:rsidR="001B4410" w:rsidRP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>”</w:t>
      </w:r>
      <w:r w:rsidR="001B4410">
        <w:rPr>
          <w:rFonts w:asciiTheme="minorHAnsi" w:hAnsiTheme="minorHAnsi" w:cstheme="minorHAnsi"/>
          <w:color w:val="auto"/>
          <w:sz w:val="22"/>
          <w:szCs w:val="22"/>
          <w:lang w:val="it-IT"/>
        </w:rPr>
        <w:t>, confermandosi nuovamente in entrambe le categorie.</w:t>
      </w:r>
    </w:p>
    <w:p w14:paraId="268B810F" w14:textId="77777777" w:rsidR="00A26AD8" w:rsidRPr="00924B99" w:rsidRDefault="00A26AD8" w:rsidP="00B17161">
      <w:pPr>
        <w:pStyle w:val="EinfAbs"/>
        <w:jc w:val="both"/>
        <w:rPr>
          <w:rFonts w:asciiTheme="minorHAnsi" w:hAnsiTheme="minorHAnsi" w:cstheme="minorHAnsi"/>
          <w:color w:val="auto"/>
          <w:sz w:val="22"/>
          <w:szCs w:val="22"/>
          <w:lang w:val="it-IT"/>
        </w:rPr>
      </w:pPr>
    </w:p>
    <w:p w14:paraId="5BCB4717" w14:textId="2C2013B0" w:rsidR="001B4410" w:rsidRPr="00562581" w:rsidRDefault="003110AE" w:rsidP="001B4410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F6699">
        <w:rPr>
          <w:rFonts w:ascii="Calibri" w:hAnsi="Calibri" w:cs="Calibri-Bold"/>
          <w:b/>
          <w:color w:val="auto"/>
          <w:sz w:val="22"/>
          <w:szCs w:val="22"/>
          <w:lang w:val="it-IT"/>
        </w:rPr>
        <w:t>Top Employers Institute</w:t>
      </w:r>
      <w:r w:rsidR="0038730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38730C" w:rsidRPr="0038730C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 nel 1991 e presente in Italia dal 2008</w:t>
      </w:r>
      <w:r w:rsidR="0038730C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certifica le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aziende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base alla partecipazione e ai risultati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conseguiti ad una survey sulle </w:t>
      </w:r>
      <w:r w:rsidRPr="0038730C">
        <w:rPr>
          <w:rFonts w:ascii="Calibri" w:hAnsi="Calibri" w:cs="Calibri-Bold"/>
          <w:b/>
          <w:color w:val="auto"/>
          <w:sz w:val="22"/>
          <w:szCs w:val="22"/>
          <w:lang w:val="it-IT"/>
        </w:rPr>
        <w:t>HR Best Practices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Il sondaggio copre 6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ambiti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delle </w:t>
      </w:r>
      <w:r w:rsidR="00F845DC">
        <w:rPr>
          <w:rFonts w:ascii="Calibri" w:hAnsi="Calibri" w:cs="Calibri-Bold"/>
          <w:bCs/>
          <w:color w:val="auto"/>
          <w:sz w:val="22"/>
          <w:szCs w:val="22"/>
          <w:lang w:val="it-IT"/>
        </w:rPr>
        <w:t>R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isorse </w:t>
      </w:r>
      <w:r w:rsidR="00F845DC">
        <w:rPr>
          <w:rFonts w:ascii="Calibri" w:hAnsi="Calibri" w:cs="Calibri-Bold"/>
          <w:bCs/>
          <w:color w:val="auto"/>
          <w:sz w:val="22"/>
          <w:szCs w:val="22"/>
          <w:lang w:val="it-IT"/>
        </w:rPr>
        <w:t>U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mane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analizza 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20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diversi 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>argomenti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tra cui Strategia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HR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>, Ambiente di lavoro, Acquisizione 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talenti,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Formazione</w:t>
      </w:r>
      <w:r w:rsidRPr="003110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Benessere e Diversità e inclusione.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Il riconoscimento ottenuto viene accolto dall’Insegna come ulteriore</w:t>
      </w:r>
      <w:r w:rsidRPr="00EE572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conferma </w:t>
      </w:r>
      <w:r w:rsidR="00670B36">
        <w:rPr>
          <w:rFonts w:ascii="Calibri" w:hAnsi="Calibri" w:cs="Calibri-Bold"/>
          <w:bCs/>
          <w:color w:val="auto"/>
          <w:sz w:val="22"/>
          <w:szCs w:val="22"/>
          <w:lang w:val="it-IT"/>
        </w:rPr>
        <w:t>de</w:t>
      </w:r>
      <w:r w:rsidR="00670B36" w:rsidRPr="00670B3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lle </w:t>
      </w:r>
      <w:r w:rsidR="00670B36" w:rsidRPr="00F845DC">
        <w:rPr>
          <w:rFonts w:ascii="Calibri" w:hAnsi="Calibri" w:cs="Calibri-Bold"/>
          <w:b/>
          <w:color w:val="auto"/>
          <w:sz w:val="22"/>
          <w:szCs w:val="22"/>
          <w:lang w:val="it-IT"/>
        </w:rPr>
        <w:t>virtuose politiche di gestione del</w:t>
      </w:r>
      <w:r w:rsidR="00F845D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personale</w:t>
      </w:r>
      <w:r w:rsidR="00670B3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da sempre sono al centro della filosofia aziendale</w:t>
      </w:r>
      <w:r w:rsidR="004F669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Lidl</w:t>
      </w:r>
      <w:r w:rsidR="00F845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Pr="00EE572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F6699">
        <w:rPr>
          <w:rFonts w:ascii="Calibri" w:hAnsi="Calibri" w:cs="Calibri-Bold"/>
          <w:bCs/>
          <w:color w:val="auto"/>
          <w:sz w:val="22"/>
          <w:szCs w:val="22"/>
          <w:lang w:val="it-IT"/>
        </w:rPr>
        <w:t>che favoriscono</w:t>
      </w:r>
      <w:r w:rsidRPr="00EE572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la </w:t>
      </w:r>
      <w:r w:rsidRPr="00F278C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crescita e la valorizzazione </w:t>
      </w:r>
      <w:r w:rsidRPr="00562581">
        <w:rPr>
          <w:rFonts w:ascii="Calibri" w:hAnsi="Calibri" w:cs="Calibri-Bold"/>
          <w:b/>
          <w:color w:val="auto"/>
          <w:sz w:val="22"/>
          <w:szCs w:val="22"/>
          <w:lang w:val="it-IT"/>
        </w:rPr>
        <w:t>dei collaboratori.</w:t>
      </w:r>
    </w:p>
    <w:p w14:paraId="18604749" w14:textId="77777777" w:rsidR="001A73F4" w:rsidRPr="00562581" w:rsidRDefault="001A73F4" w:rsidP="00B17161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3AE072C4" w14:textId="4CA420D7" w:rsidR="00827ADB" w:rsidRDefault="001B4410" w:rsidP="00B1716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5625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="00B45956" w:rsidRPr="005625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messaggio </w:t>
      </w:r>
      <w:r w:rsidRPr="005625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rivolto a tutti i collaboratori, </w:t>
      </w:r>
      <w:r w:rsidRPr="0056258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Sebastiano Sacilotto, Direttore Risorse Umane di Lidl Italia, ha commentato così questo significativo traguardo</w:t>
      </w:r>
      <w:r w:rsidRPr="005625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: </w:t>
      </w:r>
      <w:bookmarkStart w:id="1" w:name="_Hlk92200236"/>
      <w:r w:rsidR="001D0410" w:rsidRPr="0056258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38730C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</w:t>
      </w:r>
      <w:r w:rsidR="0038730C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iamo orgogliosi di </w:t>
      </w:r>
      <w:r w:rsidR="00C95ABF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ricevere anche quest’anno l</w:t>
      </w:r>
      <w:r w:rsidR="0038730C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a </w:t>
      </w:r>
      <w:r w:rsidR="00AF3AA0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prestigiosa </w:t>
      </w:r>
      <w:r w:rsidR="0038730C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certificazione</w:t>
      </w:r>
      <w:r w:rsidR="00AC0BB7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del</w:t>
      </w:r>
      <w:r w:rsidR="0038730C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Top Employers</w:t>
      </w:r>
      <w:r w:rsidR="00AC0BB7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Institute</w:t>
      </w:r>
      <w:r w:rsidR="00BD32DE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,</w:t>
      </w:r>
      <w:r w:rsidR="00F278C3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C95ABF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network grazie al qu</w:t>
      </w:r>
      <w:r w:rsidR="002D71D0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a</w:t>
      </w:r>
      <w:r w:rsidR="00C95ABF" w:rsidRPr="00562581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le </w:t>
      </w:r>
      <w:r w:rsidR="00C95ABF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abbiamo la possibilità</w:t>
      </w:r>
      <w:r w:rsidR="00BD32DE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di confrontarci con le migliori best practices in ambito HR</w:t>
      </w:r>
      <w:r w:rsidR="00C95ABF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BD32DE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rendendo il nostro ambiente </w:t>
      </w:r>
      <w:r w:rsidR="00236F88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di lavoro </w:t>
      </w:r>
      <w:r w:rsidR="00BD32DE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sempre più orientato all’eccellenza.</w:t>
      </w:r>
      <w:r w:rsidR="00BD32DE" w:rsidRPr="00562581" w:rsidDel="00AF3AA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AF3AA0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T</w:t>
      </w:r>
      <w:r w:rsidR="0038730C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ale riconoscimento assume un valore ancora più significativo in questo momento storico particolare</w:t>
      </w:r>
      <w:r w:rsidR="00670B36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in cui</w:t>
      </w:r>
      <w:r w:rsidR="00C95ABF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38730C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C95ABF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pur essendo </w:t>
      </w:r>
      <w:r w:rsidR="0038730C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chiamati ad affrontare nuove sfide</w:t>
      </w:r>
      <w:r w:rsidR="00FB3563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670B36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non </w:t>
      </w:r>
      <w:r w:rsidR="00C95ABF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abbiamo </w:t>
      </w:r>
      <w:r w:rsidR="00670B36" w:rsidRPr="00562581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mai</w:t>
      </w:r>
      <w:r w:rsidR="00670B36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smesso di investire </w:t>
      </w:r>
      <w:r w:rsidR="00C95AB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sulle persone</w:t>
      </w:r>
      <w:r w:rsidR="00F278C3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</w:t>
      </w:r>
      <w:r w:rsidR="00BD32D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”</w:t>
      </w:r>
      <w:bookmarkEnd w:id="1"/>
    </w:p>
    <w:p w14:paraId="593D8072" w14:textId="6A19D8A8" w:rsidR="00152BAE" w:rsidRDefault="00152BAE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14:paraId="7C99A7C7" w14:textId="77777777" w:rsidR="008A0986" w:rsidRDefault="008A0986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14:paraId="23167FA1" w14:textId="77777777" w:rsidR="00152BAE" w:rsidRPr="00152BAE" w:rsidRDefault="00152BAE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12B123D" w14:textId="1F1FE316" w:rsidR="00152BAE" w:rsidRPr="00152BAE" w:rsidRDefault="00152BAE" w:rsidP="00F278C3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DA3B3B">
        <w:rPr>
          <w:rFonts w:cs="Calibri-Bold"/>
          <w:bCs/>
          <w:color w:val="1F497D" w:themeColor="text2"/>
          <w:sz w:val="18"/>
          <w:szCs w:val="18"/>
          <w:lang w:val="it-IT"/>
        </w:rPr>
        <w:t>70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DA3B3B">
        <w:rPr>
          <w:rFonts w:cs="Calibri-Bold"/>
          <w:bCs/>
          <w:color w:val="1F497D" w:themeColor="text2"/>
          <w:sz w:val="18"/>
          <w:szCs w:val="18"/>
          <w:lang w:val="it-IT"/>
        </w:rPr>
        <w:t>20.000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5C678454" w14:textId="77777777" w:rsidR="00152BAE" w:rsidRPr="00152BAE" w:rsidRDefault="00152BAE" w:rsidP="00236F88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A4C6003" w14:textId="77777777" w:rsidR="00152BAE" w:rsidRPr="00152BAE" w:rsidRDefault="00152BAE" w:rsidP="00152BAE">
      <w:pPr>
        <w:spacing w:after="0" w:line="384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2F0C103C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LIDL Italia S.r.l. a socio unico - Ufficio Comunicazione</w:t>
      </w:r>
    </w:p>
    <w:p w14:paraId="7CD789A9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Via Augusto Ruffo, 36 - 37040 Arcole (VR)</w:t>
      </w:r>
    </w:p>
    <w:p w14:paraId="73C91D9D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Tel. 045.6135100</w:t>
      </w:r>
    </w:p>
    <w:p w14:paraId="05820EBE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>E-mail: stampa@lidl.it</w:t>
      </w:r>
      <w:r w:rsidRPr="00152BAE">
        <w:rPr>
          <w:rFonts w:cs="Calibri-Bold"/>
          <w:bCs/>
          <w:color w:val="1F497D" w:themeColor="text2"/>
          <w:sz w:val="18"/>
          <w:szCs w:val="18"/>
          <w:lang w:val="it-IT"/>
        </w:rPr>
        <w:tab/>
      </w:r>
    </w:p>
    <w:p w14:paraId="5E8157E9" w14:textId="2EEB7F6D" w:rsidR="00152BAE" w:rsidRDefault="0007455A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hyperlink r:id="rId11" w:history="1">
        <w:r w:rsidR="00152BAE" w:rsidRPr="0052204F">
          <w:rPr>
            <w:rStyle w:val="Collegamentoipertestuale"/>
            <w:rFonts w:cs="Calibri-Bold"/>
            <w:bCs/>
            <w:sz w:val="18"/>
            <w:szCs w:val="18"/>
            <w:lang w:val="it-IT"/>
          </w:rPr>
          <w:t>www.lidl.it</w:t>
        </w:r>
      </w:hyperlink>
    </w:p>
    <w:p w14:paraId="033AE659" w14:textId="77777777" w:rsidR="00152BAE" w:rsidRPr="00152BAE" w:rsidRDefault="00152BAE" w:rsidP="00152BA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sectPr w:rsidR="00152BAE" w:rsidRPr="00152BAE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4B8EE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66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455A"/>
    <w:rsid w:val="0007713C"/>
    <w:rsid w:val="000804E6"/>
    <w:rsid w:val="00081A27"/>
    <w:rsid w:val="00083B47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E6341"/>
    <w:rsid w:val="000E70A4"/>
    <w:rsid w:val="000F67E7"/>
    <w:rsid w:val="00105C99"/>
    <w:rsid w:val="001103F8"/>
    <w:rsid w:val="00112447"/>
    <w:rsid w:val="001167C9"/>
    <w:rsid w:val="00122CE8"/>
    <w:rsid w:val="001241B5"/>
    <w:rsid w:val="0012454B"/>
    <w:rsid w:val="00132E95"/>
    <w:rsid w:val="001437A4"/>
    <w:rsid w:val="00145D4E"/>
    <w:rsid w:val="0015267E"/>
    <w:rsid w:val="00152BAE"/>
    <w:rsid w:val="00153BC8"/>
    <w:rsid w:val="00170CD8"/>
    <w:rsid w:val="00171FA8"/>
    <w:rsid w:val="00173B1B"/>
    <w:rsid w:val="001769EB"/>
    <w:rsid w:val="00177431"/>
    <w:rsid w:val="00181A68"/>
    <w:rsid w:val="00182F03"/>
    <w:rsid w:val="001859EE"/>
    <w:rsid w:val="001A73F4"/>
    <w:rsid w:val="001B24CD"/>
    <w:rsid w:val="001B4410"/>
    <w:rsid w:val="001C2784"/>
    <w:rsid w:val="001D0410"/>
    <w:rsid w:val="001D3042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36F88"/>
    <w:rsid w:val="00237DA2"/>
    <w:rsid w:val="00244CA2"/>
    <w:rsid w:val="0024740A"/>
    <w:rsid w:val="0025075B"/>
    <w:rsid w:val="00251DA8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1D0"/>
    <w:rsid w:val="002D779A"/>
    <w:rsid w:val="002E526E"/>
    <w:rsid w:val="002F325A"/>
    <w:rsid w:val="002F516C"/>
    <w:rsid w:val="003062A4"/>
    <w:rsid w:val="00310E19"/>
    <w:rsid w:val="003110AE"/>
    <w:rsid w:val="0031354C"/>
    <w:rsid w:val="00314D2A"/>
    <w:rsid w:val="003160B1"/>
    <w:rsid w:val="00316529"/>
    <w:rsid w:val="003230DC"/>
    <w:rsid w:val="00323BAC"/>
    <w:rsid w:val="00326AC0"/>
    <w:rsid w:val="00340E34"/>
    <w:rsid w:val="00355BC0"/>
    <w:rsid w:val="00362FE4"/>
    <w:rsid w:val="00363AF9"/>
    <w:rsid w:val="0036626B"/>
    <w:rsid w:val="0037317E"/>
    <w:rsid w:val="003747D3"/>
    <w:rsid w:val="0037694A"/>
    <w:rsid w:val="00382D51"/>
    <w:rsid w:val="0038730C"/>
    <w:rsid w:val="00387336"/>
    <w:rsid w:val="003A5FAA"/>
    <w:rsid w:val="003A769F"/>
    <w:rsid w:val="003B0583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3AEE"/>
    <w:rsid w:val="0049612D"/>
    <w:rsid w:val="004A6FFC"/>
    <w:rsid w:val="004B00A2"/>
    <w:rsid w:val="004B0B31"/>
    <w:rsid w:val="004B6791"/>
    <w:rsid w:val="004C153E"/>
    <w:rsid w:val="004C5CDC"/>
    <w:rsid w:val="004C7FE3"/>
    <w:rsid w:val="004D30BC"/>
    <w:rsid w:val="004D4E8D"/>
    <w:rsid w:val="004E16C7"/>
    <w:rsid w:val="004E78E7"/>
    <w:rsid w:val="004F6699"/>
    <w:rsid w:val="0050059B"/>
    <w:rsid w:val="00500A69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56290"/>
    <w:rsid w:val="0056010E"/>
    <w:rsid w:val="00562581"/>
    <w:rsid w:val="0056405F"/>
    <w:rsid w:val="00571029"/>
    <w:rsid w:val="00572298"/>
    <w:rsid w:val="005817EF"/>
    <w:rsid w:val="0058276E"/>
    <w:rsid w:val="005847CA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0B36"/>
    <w:rsid w:val="006726CF"/>
    <w:rsid w:val="00672E99"/>
    <w:rsid w:val="00674292"/>
    <w:rsid w:val="006769B5"/>
    <w:rsid w:val="006805C2"/>
    <w:rsid w:val="006947AB"/>
    <w:rsid w:val="006A7843"/>
    <w:rsid w:val="006A7E99"/>
    <w:rsid w:val="006B45D1"/>
    <w:rsid w:val="006B7030"/>
    <w:rsid w:val="006B7AB8"/>
    <w:rsid w:val="006C5A07"/>
    <w:rsid w:val="006D4394"/>
    <w:rsid w:val="006D7E0E"/>
    <w:rsid w:val="006E0B52"/>
    <w:rsid w:val="006E42C5"/>
    <w:rsid w:val="00704D5B"/>
    <w:rsid w:val="00705351"/>
    <w:rsid w:val="007060CE"/>
    <w:rsid w:val="007147E6"/>
    <w:rsid w:val="00730ED9"/>
    <w:rsid w:val="00733CE1"/>
    <w:rsid w:val="007411F0"/>
    <w:rsid w:val="00751E86"/>
    <w:rsid w:val="00764ECB"/>
    <w:rsid w:val="00766453"/>
    <w:rsid w:val="00767921"/>
    <w:rsid w:val="007704E5"/>
    <w:rsid w:val="00770F6B"/>
    <w:rsid w:val="00772C30"/>
    <w:rsid w:val="0077322E"/>
    <w:rsid w:val="007806DE"/>
    <w:rsid w:val="00780C45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DD0"/>
    <w:rsid w:val="007D536B"/>
    <w:rsid w:val="007D53DB"/>
    <w:rsid w:val="007F6D48"/>
    <w:rsid w:val="00801FB3"/>
    <w:rsid w:val="008040D9"/>
    <w:rsid w:val="008234CB"/>
    <w:rsid w:val="00827AD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0986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24B99"/>
    <w:rsid w:val="0093165D"/>
    <w:rsid w:val="0093340C"/>
    <w:rsid w:val="00933BC4"/>
    <w:rsid w:val="009430F7"/>
    <w:rsid w:val="0095498A"/>
    <w:rsid w:val="00956053"/>
    <w:rsid w:val="009566E0"/>
    <w:rsid w:val="0095716D"/>
    <w:rsid w:val="009602A8"/>
    <w:rsid w:val="00961E6B"/>
    <w:rsid w:val="0096473E"/>
    <w:rsid w:val="009651B2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B499E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26AD8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C0BB7"/>
    <w:rsid w:val="00AD307B"/>
    <w:rsid w:val="00AE0EFD"/>
    <w:rsid w:val="00AE1952"/>
    <w:rsid w:val="00AE43D2"/>
    <w:rsid w:val="00AE5AD6"/>
    <w:rsid w:val="00AE6278"/>
    <w:rsid w:val="00AE7DC5"/>
    <w:rsid w:val="00AF037F"/>
    <w:rsid w:val="00AF1986"/>
    <w:rsid w:val="00AF2A99"/>
    <w:rsid w:val="00AF3AA0"/>
    <w:rsid w:val="00B0160E"/>
    <w:rsid w:val="00B0170B"/>
    <w:rsid w:val="00B0321F"/>
    <w:rsid w:val="00B1096B"/>
    <w:rsid w:val="00B17161"/>
    <w:rsid w:val="00B2081E"/>
    <w:rsid w:val="00B24737"/>
    <w:rsid w:val="00B306AF"/>
    <w:rsid w:val="00B4063B"/>
    <w:rsid w:val="00B458F2"/>
    <w:rsid w:val="00B45956"/>
    <w:rsid w:val="00B54ABD"/>
    <w:rsid w:val="00B618D9"/>
    <w:rsid w:val="00B61A84"/>
    <w:rsid w:val="00B61B06"/>
    <w:rsid w:val="00B668C1"/>
    <w:rsid w:val="00B74901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32DE"/>
    <w:rsid w:val="00BD500F"/>
    <w:rsid w:val="00BD5886"/>
    <w:rsid w:val="00BD644F"/>
    <w:rsid w:val="00BF2955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ABF"/>
    <w:rsid w:val="00C95D9D"/>
    <w:rsid w:val="00CA4357"/>
    <w:rsid w:val="00CB2007"/>
    <w:rsid w:val="00CD6B04"/>
    <w:rsid w:val="00CD7684"/>
    <w:rsid w:val="00CE1C60"/>
    <w:rsid w:val="00CF1A14"/>
    <w:rsid w:val="00D0443D"/>
    <w:rsid w:val="00D0635C"/>
    <w:rsid w:val="00D0699A"/>
    <w:rsid w:val="00D11D3A"/>
    <w:rsid w:val="00D20D04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4D59"/>
    <w:rsid w:val="00D75220"/>
    <w:rsid w:val="00D7546B"/>
    <w:rsid w:val="00D95420"/>
    <w:rsid w:val="00D97C26"/>
    <w:rsid w:val="00DA057B"/>
    <w:rsid w:val="00DA2376"/>
    <w:rsid w:val="00DA2CB7"/>
    <w:rsid w:val="00DA3B3B"/>
    <w:rsid w:val="00DB38EC"/>
    <w:rsid w:val="00DB5592"/>
    <w:rsid w:val="00DC42AA"/>
    <w:rsid w:val="00DC7925"/>
    <w:rsid w:val="00DD0E11"/>
    <w:rsid w:val="00DD12E2"/>
    <w:rsid w:val="00DD1EBB"/>
    <w:rsid w:val="00DE1F0E"/>
    <w:rsid w:val="00DE3421"/>
    <w:rsid w:val="00DE56DD"/>
    <w:rsid w:val="00DF34C2"/>
    <w:rsid w:val="00DF3D08"/>
    <w:rsid w:val="00DF46D9"/>
    <w:rsid w:val="00E0460F"/>
    <w:rsid w:val="00E079D0"/>
    <w:rsid w:val="00E07D37"/>
    <w:rsid w:val="00E20156"/>
    <w:rsid w:val="00E269C9"/>
    <w:rsid w:val="00E342E9"/>
    <w:rsid w:val="00E34B5F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B7A1F"/>
    <w:rsid w:val="00EC0392"/>
    <w:rsid w:val="00EC4CE1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6C0E"/>
    <w:rsid w:val="00F17DDA"/>
    <w:rsid w:val="00F2625C"/>
    <w:rsid w:val="00F278C3"/>
    <w:rsid w:val="00F4447E"/>
    <w:rsid w:val="00F47C01"/>
    <w:rsid w:val="00F5038E"/>
    <w:rsid w:val="00F505E4"/>
    <w:rsid w:val="00F55036"/>
    <w:rsid w:val="00F72AD9"/>
    <w:rsid w:val="00F746A0"/>
    <w:rsid w:val="00F77BEC"/>
    <w:rsid w:val="00F845DC"/>
    <w:rsid w:val="00F84734"/>
    <w:rsid w:val="00F849CD"/>
    <w:rsid w:val="00F90D0F"/>
    <w:rsid w:val="00F93588"/>
    <w:rsid w:val="00F94889"/>
    <w:rsid w:val="00FA0C09"/>
    <w:rsid w:val="00FB3563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659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4B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278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dl.i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top-employers.com/it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7</cp:revision>
  <cp:lastPrinted>2021-12-10T17:36:00Z</cp:lastPrinted>
  <dcterms:created xsi:type="dcterms:W3CDTF">2022-01-11T08:55:00Z</dcterms:created>
  <dcterms:modified xsi:type="dcterms:W3CDTF">2022-01-31T12:41:00Z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