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50B56" w14:textId="0E6635FE" w:rsidR="00530E34" w:rsidRDefault="00EE29B6" w:rsidP="0030153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6F499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IL SUO 16° PUNTO VENDITA A TORINO</w:t>
      </w:r>
    </w:p>
    <w:p w14:paraId="7DB913C4" w14:textId="5BD9D91E" w:rsidR="00EE29B6" w:rsidRDefault="000858EF" w:rsidP="00EE29B6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Nuovo </w:t>
      </w:r>
      <w:r w:rsidR="00C22D84">
        <w:rPr>
          <w:rFonts w:cs="Calibri-Bold"/>
          <w:bCs/>
          <w:i/>
          <w:sz w:val="28"/>
          <w:szCs w:val="28"/>
          <w:lang w:val="it-IT"/>
        </w:rPr>
        <w:t>supermercato "green</w:t>
      </w:r>
      <w:r w:rsidR="00593623">
        <w:rPr>
          <w:rFonts w:cs="Calibri-Bold"/>
          <w:bCs/>
          <w:i/>
          <w:sz w:val="28"/>
          <w:szCs w:val="28"/>
          <w:lang w:val="it-IT"/>
        </w:rPr>
        <w:t>"</w:t>
      </w:r>
      <w:r w:rsidR="00C22D84">
        <w:rPr>
          <w:rFonts w:cs="Calibri-Bold"/>
          <w:bCs/>
          <w:i/>
          <w:sz w:val="28"/>
          <w:szCs w:val="28"/>
          <w:lang w:val="it-IT"/>
        </w:rPr>
        <w:t xml:space="preserve"> in</w:t>
      </w:r>
      <w:r w:rsidR="005A6B37">
        <w:rPr>
          <w:rFonts w:cs="Calibri-Bold"/>
          <w:bCs/>
          <w:i/>
          <w:sz w:val="28"/>
          <w:szCs w:val="28"/>
          <w:lang w:val="it-IT"/>
        </w:rPr>
        <w:t xml:space="preserve"> Borgo Filadelfia</w:t>
      </w:r>
    </w:p>
    <w:p w14:paraId="777A0936" w14:textId="37E02915" w:rsidR="001F527D" w:rsidRPr="00CD291B" w:rsidRDefault="001F527D" w:rsidP="001F527D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CD291B"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CD291B" w:rsidRPr="00CD291B">
        <w:rPr>
          <w:rFonts w:cs="Calibri-Bold"/>
          <w:bCs/>
          <w:i/>
          <w:sz w:val="28"/>
          <w:szCs w:val="28"/>
          <w:lang w:val="it-IT"/>
        </w:rPr>
        <w:t>13</w:t>
      </w:r>
      <w:r w:rsidRPr="00CD291B"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742BA33E" w14:textId="77777777" w:rsidR="00B32C6B" w:rsidRPr="00CD291B" w:rsidRDefault="00B32C6B" w:rsidP="00316529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5B03E161" w14:textId="55C88529" w:rsidR="005B7885" w:rsidRPr="001F527D" w:rsidRDefault="005A6B37" w:rsidP="0076187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Torino</w:t>
      </w:r>
      <w:r w:rsidR="005F12DD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7</w:t>
      </w:r>
      <w:r w:rsidR="00C6328F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aprile</w:t>
      </w:r>
      <w:r w:rsidR="008C6ADD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="00C6328F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7C1315" w:rsidRPr="00CD29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CD291B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CD291B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Pr="00CD291B">
        <w:rPr>
          <w:rFonts w:cs="Calibri-Bold"/>
          <w:bCs/>
          <w:color w:val="auto"/>
          <w:sz w:val="22"/>
          <w:szCs w:val="22"/>
          <w:lang w:val="it-IT"/>
        </w:rPr>
        <w:t xml:space="preserve">Questa mattina </w:t>
      </w:r>
      <w:r w:rsidR="00000116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00011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leader nella GDO con 700 punti vendita nel Paese, </w:t>
      </w:r>
      <w:bookmarkEnd w:id="0"/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inaugurato </w:t>
      </w:r>
      <w:r w:rsidR="0042134B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Torino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Borgo Filadelfia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Si tratta del 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16°</w:t>
      </w:r>
      <w:r w:rsidR="001263C7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134B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store</w:t>
      </w:r>
      <w:r w:rsidR="001263C7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dell’Insegna </w:t>
      </w:r>
      <w:r w:rsidR="004D178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 capoluogo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D178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252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città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</w:t>
      </w:r>
      <w:r w:rsidR="009252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quale l’Azienda ha aperto per la prima volta un punto vendita nel 1995, a soli tre anni dal suo arrivo in Italia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Con quest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taglio del nastro</w:t>
      </w:r>
      <w:r w:rsidR="00593623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conferma il ruolo strategico della Regione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Piemonte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propri piani di sviluppo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dopo </w:t>
      </w:r>
      <w:r w:rsidR="00766DBA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</w:t>
      </w:r>
      <w:r w:rsidR="00593623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nuovo polo logistico</w:t>
      </w:r>
      <w:r w:rsidR="00766DBA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93623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766DBA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Carmagnola lo scorso settembre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Positivo anche il risvolto occupazionale dell’operazione</w:t>
      </w:r>
      <w:r w:rsidR="00766DBA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all’</w:t>
      </w:r>
      <w:r w:rsidR="001263C7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 w:rsidR="00CD291B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13</w:t>
      </w:r>
      <w:r w:rsidR="001263C7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 </w:t>
      </w:r>
      <w:r w:rsidR="001263C7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1263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aggiungono alla squadra di Lidl Italia, di cui oggi fanno parte </w:t>
      </w:r>
      <w:r w:rsidR="001263C7" w:rsidRPr="001614FB">
        <w:rPr>
          <w:rFonts w:cs="Calibri-Bold"/>
          <w:b/>
          <w:color w:val="auto"/>
          <w:sz w:val="22"/>
          <w:szCs w:val="22"/>
          <w:lang w:val="it-IT"/>
        </w:rPr>
        <w:t>20.000</w:t>
      </w:r>
      <w:r w:rsidR="001263C7">
        <w:rPr>
          <w:rFonts w:cs="Calibri-Bold"/>
          <w:b/>
          <w:color w:val="auto"/>
          <w:sz w:val="22"/>
          <w:szCs w:val="22"/>
          <w:lang w:val="it-IT"/>
        </w:rPr>
        <w:t xml:space="preserve"> persone.</w:t>
      </w:r>
      <w:r w:rsidR="001F527D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</w:p>
    <w:p w14:paraId="47753C28" w14:textId="3AAA021C" w:rsidR="00C468BA" w:rsidRPr="00B32C6B" w:rsidRDefault="001B39CE" w:rsidP="00C45C44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5688DF90" w14:textId="7089FFA6" w:rsidR="00C45C44" w:rsidRPr="00D67114" w:rsidRDefault="00C45C44" w:rsidP="00C45C4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6711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EE29B6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progetto di </w:t>
      </w:r>
      <w:r w:rsidR="00766DBA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edilizia sostenibile</w:t>
      </w:r>
    </w:p>
    <w:p w14:paraId="5D8DB200" w14:textId="0D208613" w:rsidR="00D15A6D" w:rsidRPr="00E73CC8" w:rsidRDefault="00766DBA" w:rsidP="00176B5B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>Il nuovo edificio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dispone di </w:t>
      </w:r>
      <w:r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circa</w:t>
      </w:r>
      <w:r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30002F"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 xml:space="preserve">350 </w:t>
      </w:r>
      <w:r w:rsidRPr="00942DD5">
        <w:rPr>
          <w:b/>
          <w:sz w:val="22"/>
          <w:szCs w:val="22"/>
        </w:rPr>
        <w:t>mq</w:t>
      </w:r>
      <w:r w:rsidRPr="00A60CA9">
        <w:rPr>
          <w:bCs/>
          <w:sz w:val="22"/>
          <w:szCs w:val="22"/>
        </w:rPr>
        <w:t>,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frutto di un progetto di recupero di </w:t>
      </w:r>
      <w:r w:rsidR="00C22D84">
        <w:rPr>
          <w:rFonts w:asciiTheme="minorHAnsi" w:hAnsiTheme="minorHAnsi" w:cstheme="minorHAnsi"/>
          <w:bCs/>
          <w:color w:val="auto"/>
          <w:sz w:val="22"/>
          <w:szCs w:val="22"/>
        </w:rPr>
        <w:t>un’area abbandonata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che un tempo ospitava una concessionaria di auto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riqualificazione</w:t>
      </w:r>
      <w:r w:rsidR="00B504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22D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della zona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permesso a </w:t>
      </w:r>
      <w:r w:rsidR="00B5049D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linea con la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propria 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politica di </w:t>
      </w:r>
      <w:r w:rsidRPr="00B5049D">
        <w:rPr>
          <w:rFonts w:asciiTheme="minorHAnsi" w:hAnsiTheme="minorHAnsi" w:cstheme="minorHAnsi"/>
          <w:b/>
          <w:color w:val="auto"/>
          <w:sz w:val="22"/>
          <w:szCs w:val="22"/>
        </w:rPr>
        <w:t>sostenibilità ambientale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di dare vita ad una struttura moderna </w:t>
      </w:r>
      <w:r w:rsidR="00B5049D">
        <w:rPr>
          <w:rFonts w:asciiTheme="minorHAnsi" w:hAnsiTheme="minorHAnsi" w:cstheme="minorHAnsi"/>
          <w:bCs/>
          <w:color w:val="auto"/>
          <w:sz w:val="22"/>
          <w:szCs w:val="22"/>
        </w:rPr>
        <w:t>e sostenibile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</w:t>
      </w:r>
      <w:r w:rsidR="00B504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Pr="00766DBA">
        <w:rPr>
          <w:rFonts w:asciiTheme="minorHAnsi" w:hAnsiTheme="minorHAnsi" w:cstheme="minorHAnsi"/>
          <w:bCs/>
          <w:color w:val="auto"/>
          <w:sz w:val="22"/>
          <w:szCs w:val="22"/>
        </w:rPr>
        <w:t>consumo di suolo pari a zero.</w:t>
      </w:r>
      <w:r w:rsidR="00F312A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15A6D" w:rsidRPr="006F4991">
        <w:rPr>
          <w:rFonts w:asciiTheme="minorHAnsi" w:hAnsiTheme="minorHAnsi" w:cstheme="minorHAnsi"/>
          <w:b/>
          <w:color w:val="auto"/>
          <w:sz w:val="22"/>
          <w:szCs w:val="22"/>
        </w:rPr>
        <w:t>Sul tetto</w:t>
      </w:r>
      <w:r w:rsidR="00B5049D" w:rsidRPr="006F499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dell’edificio sono presenti un giardino e </w:t>
      </w:r>
      <w:r w:rsidR="00D15A6D" w:rsidRPr="00C22D84">
        <w:rPr>
          <w:rFonts w:asciiTheme="minorHAnsi" w:hAnsiTheme="minorHAnsi" w:cstheme="minorHAnsi"/>
          <w:b/>
          <w:color w:val="auto"/>
          <w:sz w:val="22"/>
          <w:szCs w:val="22"/>
        </w:rPr>
        <w:t>un</w:t>
      </w:r>
      <w:r w:rsidR="00D15A6D" w:rsidRPr="00503B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impianto fotovoltaico da </w:t>
      </w:r>
      <w:r w:rsidR="00B5049D">
        <w:rPr>
          <w:rFonts w:asciiTheme="minorHAnsi" w:hAnsiTheme="minorHAnsi" w:cstheme="minorHAnsi"/>
          <w:b/>
          <w:color w:val="auto"/>
          <w:sz w:val="22"/>
          <w:szCs w:val="22"/>
        </w:rPr>
        <w:t>229</w:t>
      </w:r>
      <w:r w:rsidR="00D15A6D" w:rsidRPr="00503B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B5049D" w:rsidRP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mentre </w:t>
      </w:r>
      <w:r w:rsidR="00B5049D">
        <w:rPr>
          <w:rFonts w:asciiTheme="minorHAnsi" w:hAnsiTheme="minorHAnsi" w:cstheme="minorHAnsi"/>
          <w:bCs/>
          <w:color w:val="auto"/>
          <w:sz w:val="22"/>
          <w:szCs w:val="22"/>
        </w:rPr>
        <w:t>al suo interno l’illuminazione è garantita da</w:t>
      </w:r>
      <w:r w:rsidR="00D15A6D" w:rsidRPr="00503B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15A6D" w:rsidRPr="00503B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sistema di luci a LED che consente </w:t>
      </w:r>
      <w:r w:rsidR="00B5049D">
        <w:rPr>
          <w:rFonts w:asciiTheme="minorHAnsi" w:hAnsiTheme="minorHAnsi" w:cstheme="minorHAnsi"/>
          <w:b/>
          <w:color w:val="auto"/>
          <w:sz w:val="22"/>
          <w:szCs w:val="22"/>
        </w:rPr>
        <w:t>il risparmio di</w:t>
      </w:r>
      <w:r w:rsidR="00D15A6D" w:rsidRPr="00503B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oltre il 50%</w:t>
      </w:r>
      <w:r w:rsidR="00B504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15A6D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</w:t>
      </w:r>
      <w:r w:rsidR="00D15A6D" w:rsidRPr="00A24F6F">
        <w:rPr>
          <w:rFonts w:asciiTheme="minorHAnsi" w:hAnsiTheme="minorHAnsi" w:cstheme="minorHAnsi"/>
          <w:bCs/>
          <w:color w:val="auto"/>
          <w:sz w:val="22"/>
          <w:szCs w:val="22"/>
        </w:rPr>
        <w:t>alle precedenti tecnologie</w:t>
      </w:r>
      <w:r w:rsidR="00D15A6D" w:rsidRPr="00211DB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D15A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Contribuiscono alla sostenibilità della </w:t>
      </w:r>
      <w:r w:rsidR="004213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costruzione – che rientra in </w:t>
      </w:r>
      <w:r w:rsidR="0042134B" w:rsidRPr="0042134B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E73CC8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4213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 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>anche le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ampie vetrate </w:t>
      </w:r>
      <w:r w:rsidR="00A60CA9">
        <w:rPr>
          <w:rFonts w:asciiTheme="minorHAnsi" w:hAnsiTheme="minorHAnsi" w:cstheme="minorHAnsi"/>
          <w:bCs/>
          <w:color w:val="auto"/>
          <w:sz w:val="22"/>
          <w:szCs w:val="22"/>
        </w:rPr>
        <w:t>per favorire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luce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naturale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D15A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>l’uso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>o di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69546C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6954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D15A6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aggiunta, 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prospetti dell’edificio </w:t>
      </w:r>
      <w:r w:rsidR="00A60CA9">
        <w:rPr>
          <w:rFonts w:asciiTheme="minorHAnsi" w:hAnsiTheme="minorHAnsi" w:cstheme="minorHAnsi"/>
          <w:bCs/>
          <w:color w:val="auto"/>
          <w:sz w:val="22"/>
          <w:szCs w:val="22"/>
        </w:rPr>
        <w:t>prevedono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</w:t>
      </w:r>
      <w:r w:rsidR="00875D99" w:rsidRPr="00875D99">
        <w:rPr>
          <w:rFonts w:asciiTheme="minorHAnsi" w:hAnsiTheme="minorHAnsi" w:cstheme="minorHAnsi"/>
          <w:b/>
          <w:color w:val="auto"/>
          <w:sz w:val="22"/>
          <w:szCs w:val="22"/>
        </w:rPr>
        <w:t>rivestimento verde verticale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alternato </w:t>
      </w:r>
      <w:r w:rsidR="00875D99" w:rsidRPr="00B5049D">
        <w:rPr>
          <w:rFonts w:asciiTheme="minorHAnsi" w:hAnsiTheme="minorHAnsi" w:cstheme="minorHAnsi"/>
          <w:b/>
          <w:color w:val="auto"/>
          <w:sz w:val="22"/>
          <w:szCs w:val="22"/>
        </w:rPr>
        <w:t>a paret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875D99" w:rsidRPr="00B504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 xml:space="preserve">in </w:t>
      </w:r>
      <w:r w:rsidR="00875D99" w:rsidRPr="00B5049D">
        <w:rPr>
          <w:rFonts w:asciiTheme="minorHAnsi" w:hAnsiTheme="minorHAnsi" w:cstheme="minorHAnsi"/>
          <w:b/>
          <w:color w:val="auto"/>
          <w:sz w:val="22"/>
          <w:szCs w:val="22"/>
        </w:rPr>
        <w:t>fibrocement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875D99" w:rsidRPr="00B504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>con effetto</w:t>
      </w:r>
      <w:r w:rsidR="00875D99" w:rsidRPr="00B504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legno</w:t>
      </w:r>
      <w:r w:rsidR="00875D99" w:rsidRP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ll’esterno sono presenti </w:t>
      </w:r>
      <w:r w:rsidR="005738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573836" w:rsidRPr="00977B41">
        <w:rPr>
          <w:b/>
          <w:bCs/>
          <w:sz w:val="22"/>
          <w:szCs w:val="22"/>
        </w:rPr>
        <w:t xml:space="preserve">parcheggio da </w:t>
      </w:r>
      <w:r>
        <w:rPr>
          <w:b/>
          <w:bCs/>
          <w:sz w:val="22"/>
          <w:szCs w:val="22"/>
        </w:rPr>
        <w:t xml:space="preserve">circa </w:t>
      </w:r>
      <w:r w:rsidR="00E73CC8">
        <w:rPr>
          <w:b/>
          <w:bCs/>
          <w:sz w:val="22"/>
          <w:szCs w:val="22"/>
        </w:rPr>
        <w:t>125</w:t>
      </w:r>
      <w:r w:rsidR="00573836" w:rsidRPr="00977B41">
        <w:rPr>
          <w:b/>
          <w:bCs/>
          <w:sz w:val="22"/>
          <w:szCs w:val="22"/>
        </w:rPr>
        <w:t xml:space="preserve"> post</w:t>
      </w:r>
      <w:r w:rsidR="00A24F6F" w:rsidRPr="00977B41">
        <w:rPr>
          <w:b/>
          <w:bCs/>
          <w:sz w:val="22"/>
          <w:szCs w:val="22"/>
        </w:rPr>
        <w:t xml:space="preserve">i auto </w:t>
      </w:r>
      <w:r w:rsidR="00875D99">
        <w:rPr>
          <w:sz w:val="22"/>
          <w:szCs w:val="22"/>
        </w:rPr>
        <w:t>con</w:t>
      </w:r>
      <w:r w:rsidR="00A24F6F" w:rsidRPr="00977B41">
        <w:rPr>
          <w:b/>
          <w:bCs/>
          <w:sz w:val="22"/>
          <w:szCs w:val="22"/>
        </w:rPr>
        <w:t xml:space="preserve"> </w:t>
      </w:r>
      <w:r w:rsidR="00E73CC8">
        <w:rPr>
          <w:b/>
          <w:bCs/>
          <w:sz w:val="22"/>
          <w:szCs w:val="22"/>
        </w:rPr>
        <w:t>4</w:t>
      </w:r>
      <w:r w:rsidR="00A24F6F" w:rsidRPr="00977B41">
        <w:rPr>
          <w:b/>
          <w:bCs/>
          <w:sz w:val="22"/>
          <w:szCs w:val="22"/>
        </w:rPr>
        <w:t xml:space="preserve">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E73CC8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 la ricarica </w:t>
      </w:r>
      <w:r w:rsidR="00A24F6F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E73CC8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A24F6F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>auto elettriche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577458" w:rsidRPr="00977B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</w:t>
      </w:r>
      <w:r w:rsidR="00B5049D" w:rsidRPr="00B5049D">
        <w:rPr>
          <w:rFonts w:asciiTheme="minorHAnsi" w:hAnsiTheme="minorHAnsi" w:cstheme="minorHAnsi"/>
          <w:b/>
          <w:color w:val="auto"/>
          <w:sz w:val="22"/>
          <w:szCs w:val="22"/>
        </w:rPr>
        <w:t>sistema di recupero dell'acqua piovana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D15A6D" w:rsidRPr="005F1FC6">
        <w:rPr>
          <w:rFonts w:asciiTheme="minorHAnsi" w:hAnsiTheme="minorHAnsi" w:cstheme="minorHAnsi"/>
          <w:color w:val="auto"/>
          <w:sz w:val="22"/>
          <w:szCs w:val="22"/>
        </w:rPr>
        <w:t>In</w:t>
      </w:r>
      <w:r w:rsidR="00D15A6D">
        <w:rPr>
          <w:rFonts w:asciiTheme="minorHAnsi" w:hAnsiTheme="minorHAnsi" w:cstheme="minorHAnsi"/>
          <w:color w:val="auto"/>
          <w:sz w:val="22"/>
          <w:szCs w:val="22"/>
        </w:rPr>
        <w:t>fine,</w:t>
      </w:r>
      <w:r w:rsidR="00D15A6D" w:rsidRPr="005F1F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5A6D">
        <w:rPr>
          <w:rFonts w:asciiTheme="minorHAnsi" w:hAnsiTheme="minorHAnsi" w:cstheme="minorHAnsi"/>
          <w:color w:val="auto"/>
          <w:sz w:val="22"/>
          <w:szCs w:val="22"/>
        </w:rPr>
        <w:t>l’Azienda,</w:t>
      </w:r>
      <w:r w:rsidR="00D15A6D" w:rsidRPr="005F1FC6">
        <w:rPr>
          <w:rFonts w:asciiTheme="minorHAnsi" w:hAnsiTheme="minorHAnsi" w:cstheme="minorHAnsi"/>
          <w:color w:val="auto"/>
          <w:sz w:val="22"/>
          <w:szCs w:val="22"/>
        </w:rPr>
        <w:t xml:space="preserve"> da sempre attenta al contesto in cui opera, </w:t>
      </w:r>
      <w:r w:rsidR="00D15A6D">
        <w:rPr>
          <w:rFonts w:asciiTheme="minorHAnsi" w:hAnsiTheme="minorHAnsi" w:cstheme="minorHAnsi"/>
          <w:color w:val="auto"/>
          <w:sz w:val="22"/>
          <w:szCs w:val="22"/>
        </w:rPr>
        <w:t xml:space="preserve">si è presa carico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 xml:space="preserve">della 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riqualificazione dei marciapiedi pedonali nei dintorni del punto vendita, della realizzazione del viale pedonale e del rifacimento completo dei controviali nel tratto compreso tra la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ia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G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iordano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B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runo e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orso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G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 xml:space="preserve">alileo 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>F</w:t>
      </w:r>
      <w:r w:rsidR="00E73CC8" w:rsidRPr="00E73CC8">
        <w:rPr>
          <w:rFonts w:asciiTheme="minorHAnsi" w:hAnsiTheme="minorHAnsi" w:cstheme="minorHAnsi"/>
          <w:color w:val="auto"/>
          <w:sz w:val="22"/>
          <w:szCs w:val="22"/>
        </w:rPr>
        <w:t>erraris.</w:t>
      </w:r>
      <w:r w:rsidR="00E73CC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93623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593623" w:rsidRP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5D99" w:rsidRPr="00875D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nuovo store </w:t>
      </w:r>
      <w:r w:rsidR="00593623">
        <w:rPr>
          <w:rFonts w:asciiTheme="minorHAnsi" w:hAnsiTheme="minorHAnsi" w:cstheme="minorHAnsi"/>
          <w:bCs/>
          <w:color w:val="auto"/>
          <w:sz w:val="22"/>
          <w:szCs w:val="22"/>
        </w:rPr>
        <w:t>sarà aperto</w:t>
      </w:r>
      <w:r w:rsidR="00875D9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15A6D" w:rsidRPr="008B5632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8:00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D15A6D" w:rsidRPr="008B5632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D15A6D" w:rsidRPr="008B5632">
        <w:rPr>
          <w:rFonts w:asciiTheme="minorHAnsi" w:hAnsiTheme="minorHAnsi" w:cstheme="minorHAnsi"/>
          <w:b/>
          <w:color w:val="auto"/>
          <w:sz w:val="22"/>
          <w:szCs w:val="22"/>
        </w:rPr>
        <w:t xml:space="preserve">0 e la domenica dalle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D15A6D" w:rsidRPr="008B5632">
        <w:rPr>
          <w:rFonts w:asciiTheme="minorHAnsi" w:hAnsiTheme="minorHAnsi" w:cstheme="minorHAnsi"/>
          <w:b/>
          <w:color w:val="auto"/>
          <w:sz w:val="22"/>
          <w:szCs w:val="22"/>
        </w:rPr>
        <w:t>:00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D15A6D" w:rsidRPr="008B5632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="00875D99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1A8ECB9" w14:textId="284EB18F" w:rsidR="001E73EF" w:rsidRDefault="001E73EF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11A3DC" w14:textId="29BA4B38" w:rsidR="001E73EF" w:rsidRPr="001E73EF" w:rsidRDefault="001F527D" w:rsidP="00D15A6D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L’iniziativa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“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I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limoni per la ricerca”</w:t>
      </w:r>
      <w:r w:rsid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con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F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ondazione </w:t>
      </w:r>
      <w:r w:rsid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mberto </w:t>
      </w:r>
      <w:r w:rsid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V</w:t>
      </w:r>
      <w:r w:rsidR="00D15A6D"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eronesi</w:t>
      </w:r>
    </w:p>
    <w:p w14:paraId="107025E3" w14:textId="5F5FA126" w:rsidR="00D15A6D" w:rsidRDefault="00A80E95" w:rsidP="00D15A6D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A80E95">
        <w:rPr>
          <w:rFonts w:eastAsiaTheme="minorHAnsi" w:cs="Calibri-Bold"/>
          <w:bCs/>
          <w:color w:val="auto"/>
          <w:sz w:val="22"/>
          <w:szCs w:val="22"/>
          <w:lang w:eastAsia="en-US"/>
        </w:rPr>
        <w:t>Lidl Italia partecipa alla sesta edizione dell’iniziativa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“I limoni per la ricerca”</w:t>
      </w:r>
      <w:r w:rsidRPr="00A80E9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un progetto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nazionale per </w:t>
      </w:r>
      <w:r w:rsidRPr="007E3733">
        <w:rPr>
          <w:rFonts w:eastAsiaTheme="minorHAnsi" w:cs="Calibri-Bold"/>
          <w:b/>
          <w:color w:val="auto"/>
          <w:sz w:val="22"/>
          <w:szCs w:val="22"/>
          <w:lang w:eastAsia="en-US"/>
        </w:rPr>
        <w:t>sostenere medici e ricercatori d'eccellenza</w:t>
      </w:r>
      <w:r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fino ad ora ha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permesso di </w:t>
      </w:r>
      <w:r w:rsidR="00A60CA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finanziare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il lavoro annuale di 30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755A3E">
        <w:rPr>
          <w:rFonts w:eastAsiaTheme="minorHAnsi" w:cs="Calibri-Bold"/>
          <w:bCs/>
          <w:color w:val="auto"/>
          <w:sz w:val="22"/>
          <w:szCs w:val="22"/>
          <w:lang w:eastAsia="en-US"/>
        </w:rPr>
        <w:t>ricercatori e ricercatrici.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D15A6D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Dall’1 al 15 aprile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infatti,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anche nel nuovo store di Torino</w:t>
      </w:r>
      <w:r w:rsidR="00D15A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60CA9">
        <w:rPr>
          <w:rFonts w:asciiTheme="minorHAnsi" w:hAnsiTheme="minorHAnsi" w:cstheme="minorHAnsi"/>
          <w:bCs/>
          <w:color w:val="auto"/>
          <w:sz w:val="22"/>
          <w:szCs w:val="22"/>
        </w:rPr>
        <w:t>sono</w:t>
      </w:r>
      <w:r w:rsidR="00D15A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vendita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speciali retine da 500 grammi 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i limoni siciliani varietà primofiore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e,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p</w:t>
      </w:r>
      <w:r w:rsidR="00D15A6D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er ogni retina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15A6D" w:rsidRPr="007E3733">
        <w:rPr>
          <w:rFonts w:eastAsiaTheme="minorHAnsi" w:cs="Calibri-Bold"/>
          <w:b/>
          <w:color w:val="auto"/>
          <w:sz w:val="22"/>
          <w:szCs w:val="22"/>
          <w:lang w:eastAsia="en-US"/>
        </w:rPr>
        <w:t>venduta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costo di 2 euro, </w:t>
      </w:r>
      <w:r w:rsidR="00D15A6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verranno devoluti </w:t>
      </w:r>
      <w:r w:rsidR="00D15A6D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40 centesimi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lla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15A6D" w:rsidRPr="00A80E95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Umberto Veronesi</w:t>
      </w:r>
      <w:r w:rsidR="00D15A6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15A6D"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Quest’ultima, 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ata nel 2003 su iniziativa del Professor Umberto Veronesi, si occupa di sostenere la ricerca scientifica 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>d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>’e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ccellenza attraverso l’erogazione di finanziamenti per ricercatori qualificati e meritevoli, impegnati nel campo dell’oncologia, 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della 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cardiologia, 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delle 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neuroscienze e </w:t>
      </w:r>
      <w:r w:rsidR="00D15A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della </w:t>
      </w:r>
      <w:r w:rsidR="00D15A6D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>nutrigenomica.</w:t>
      </w:r>
    </w:p>
    <w:p w14:paraId="7B91B00A" w14:textId="1F1B6439" w:rsidR="005B6F3B" w:rsidRDefault="005B6F3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378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BC2"/>
    <w:rsid w:val="0007383C"/>
    <w:rsid w:val="0007713C"/>
    <w:rsid w:val="000804E6"/>
    <w:rsid w:val="00081A27"/>
    <w:rsid w:val="000858EF"/>
    <w:rsid w:val="000914C7"/>
    <w:rsid w:val="000949A3"/>
    <w:rsid w:val="00095DF9"/>
    <w:rsid w:val="000A198C"/>
    <w:rsid w:val="000A21BD"/>
    <w:rsid w:val="000A571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5593"/>
    <w:rsid w:val="001167C9"/>
    <w:rsid w:val="001241B5"/>
    <w:rsid w:val="001263C7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D3D2E"/>
    <w:rsid w:val="001D47AB"/>
    <w:rsid w:val="001D4E79"/>
    <w:rsid w:val="001D6750"/>
    <w:rsid w:val="001D7609"/>
    <w:rsid w:val="001E0DB3"/>
    <w:rsid w:val="001E5219"/>
    <w:rsid w:val="001E73EF"/>
    <w:rsid w:val="001F527D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2528"/>
    <w:rsid w:val="00313F84"/>
    <w:rsid w:val="003160B1"/>
    <w:rsid w:val="00316529"/>
    <w:rsid w:val="003230DC"/>
    <w:rsid w:val="00340E34"/>
    <w:rsid w:val="0035281F"/>
    <w:rsid w:val="00362FE4"/>
    <w:rsid w:val="00363AF9"/>
    <w:rsid w:val="0036626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C6295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14C"/>
    <w:rsid w:val="003F37FB"/>
    <w:rsid w:val="003F4069"/>
    <w:rsid w:val="00401C44"/>
    <w:rsid w:val="00404939"/>
    <w:rsid w:val="004157D6"/>
    <w:rsid w:val="0042134B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178C"/>
    <w:rsid w:val="004D30BC"/>
    <w:rsid w:val="004D4E8D"/>
    <w:rsid w:val="004D6B44"/>
    <w:rsid w:val="004E16C7"/>
    <w:rsid w:val="004E1A48"/>
    <w:rsid w:val="004E78E7"/>
    <w:rsid w:val="004F0A8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77458"/>
    <w:rsid w:val="005817EF"/>
    <w:rsid w:val="0058276E"/>
    <w:rsid w:val="00584170"/>
    <w:rsid w:val="00593623"/>
    <w:rsid w:val="005A1874"/>
    <w:rsid w:val="005A3096"/>
    <w:rsid w:val="005A6B37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10FB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1C8C"/>
    <w:rsid w:val="006A7843"/>
    <w:rsid w:val="006A7E99"/>
    <w:rsid w:val="006B4ECA"/>
    <w:rsid w:val="006B7030"/>
    <w:rsid w:val="006B7AB8"/>
    <w:rsid w:val="006D2E6C"/>
    <w:rsid w:val="006D4394"/>
    <w:rsid w:val="006E42C5"/>
    <w:rsid w:val="006F4991"/>
    <w:rsid w:val="00704D5B"/>
    <w:rsid w:val="0070501F"/>
    <w:rsid w:val="00705351"/>
    <w:rsid w:val="007060CE"/>
    <w:rsid w:val="00707508"/>
    <w:rsid w:val="00730ED9"/>
    <w:rsid w:val="00733CE1"/>
    <w:rsid w:val="0074190F"/>
    <w:rsid w:val="00757C2B"/>
    <w:rsid w:val="0076187C"/>
    <w:rsid w:val="00764ECB"/>
    <w:rsid w:val="00765598"/>
    <w:rsid w:val="00766453"/>
    <w:rsid w:val="00766DBA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3C99"/>
    <w:rsid w:val="00814ECB"/>
    <w:rsid w:val="008234CB"/>
    <w:rsid w:val="00832CB5"/>
    <w:rsid w:val="00835707"/>
    <w:rsid w:val="00835F47"/>
    <w:rsid w:val="0084120E"/>
    <w:rsid w:val="008413DD"/>
    <w:rsid w:val="0084746E"/>
    <w:rsid w:val="00851B0A"/>
    <w:rsid w:val="00861B00"/>
    <w:rsid w:val="00870DB5"/>
    <w:rsid w:val="00875D99"/>
    <w:rsid w:val="00877B4F"/>
    <w:rsid w:val="00881CF6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C6ADD"/>
    <w:rsid w:val="008D4910"/>
    <w:rsid w:val="008E2F14"/>
    <w:rsid w:val="008E423D"/>
    <w:rsid w:val="008E5D01"/>
    <w:rsid w:val="008F3883"/>
    <w:rsid w:val="008F5D82"/>
    <w:rsid w:val="00904237"/>
    <w:rsid w:val="00917877"/>
    <w:rsid w:val="00921CB4"/>
    <w:rsid w:val="00925250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7B41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4C6F"/>
    <w:rsid w:val="009F5573"/>
    <w:rsid w:val="00A015C7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4D40"/>
    <w:rsid w:val="00A60463"/>
    <w:rsid w:val="00A60CA9"/>
    <w:rsid w:val="00A80E95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B7F79"/>
    <w:rsid w:val="00AC0D82"/>
    <w:rsid w:val="00AD307B"/>
    <w:rsid w:val="00AD4C0E"/>
    <w:rsid w:val="00AD642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32C6B"/>
    <w:rsid w:val="00B4063B"/>
    <w:rsid w:val="00B458F2"/>
    <w:rsid w:val="00B5049D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BF3E5E"/>
    <w:rsid w:val="00C1028F"/>
    <w:rsid w:val="00C118D7"/>
    <w:rsid w:val="00C20E9A"/>
    <w:rsid w:val="00C22D84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6FB2"/>
    <w:rsid w:val="00C72F34"/>
    <w:rsid w:val="00C75CEB"/>
    <w:rsid w:val="00C84282"/>
    <w:rsid w:val="00C843BC"/>
    <w:rsid w:val="00C86991"/>
    <w:rsid w:val="00C8774D"/>
    <w:rsid w:val="00C94B5F"/>
    <w:rsid w:val="00C9558C"/>
    <w:rsid w:val="00C95D9D"/>
    <w:rsid w:val="00CB2007"/>
    <w:rsid w:val="00CC5C6F"/>
    <w:rsid w:val="00CD291B"/>
    <w:rsid w:val="00CD6B04"/>
    <w:rsid w:val="00CD7684"/>
    <w:rsid w:val="00CE1C60"/>
    <w:rsid w:val="00CF1A14"/>
    <w:rsid w:val="00D04C9A"/>
    <w:rsid w:val="00D0635C"/>
    <w:rsid w:val="00D0699A"/>
    <w:rsid w:val="00D07114"/>
    <w:rsid w:val="00D15A6D"/>
    <w:rsid w:val="00D213BD"/>
    <w:rsid w:val="00D22C5C"/>
    <w:rsid w:val="00D31699"/>
    <w:rsid w:val="00D35B12"/>
    <w:rsid w:val="00D45AAC"/>
    <w:rsid w:val="00D53813"/>
    <w:rsid w:val="00D53E85"/>
    <w:rsid w:val="00D57B2C"/>
    <w:rsid w:val="00D6078F"/>
    <w:rsid w:val="00D734AF"/>
    <w:rsid w:val="00D73757"/>
    <w:rsid w:val="00D75220"/>
    <w:rsid w:val="00D7546B"/>
    <w:rsid w:val="00D82AC1"/>
    <w:rsid w:val="00D94FE1"/>
    <w:rsid w:val="00D97C26"/>
    <w:rsid w:val="00DA057B"/>
    <w:rsid w:val="00DA2376"/>
    <w:rsid w:val="00DA2CB7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3CC8"/>
    <w:rsid w:val="00E76027"/>
    <w:rsid w:val="00E76A27"/>
    <w:rsid w:val="00E77126"/>
    <w:rsid w:val="00E82AE0"/>
    <w:rsid w:val="00E91353"/>
    <w:rsid w:val="00E92C28"/>
    <w:rsid w:val="00EA0477"/>
    <w:rsid w:val="00EA6353"/>
    <w:rsid w:val="00EB0559"/>
    <w:rsid w:val="00EC4CE1"/>
    <w:rsid w:val="00ED1B20"/>
    <w:rsid w:val="00ED20A6"/>
    <w:rsid w:val="00ED229D"/>
    <w:rsid w:val="00EE141D"/>
    <w:rsid w:val="00EE29B6"/>
    <w:rsid w:val="00EE4F5C"/>
    <w:rsid w:val="00EE6CDC"/>
    <w:rsid w:val="00EE79E8"/>
    <w:rsid w:val="00EF2FB0"/>
    <w:rsid w:val="00EF6391"/>
    <w:rsid w:val="00EF723B"/>
    <w:rsid w:val="00F00F8F"/>
    <w:rsid w:val="00F027B9"/>
    <w:rsid w:val="00F13871"/>
    <w:rsid w:val="00F16C0E"/>
    <w:rsid w:val="00F17DDA"/>
    <w:rsid w:val="00F2311F"/>
    <w:rsid w:val="00F2625C"/>
    <w:rsid w:val="00F312A2"/>
    <w:rsid w:val="00F332EC"/>
    <w:rsid w:val="00F43738"/>
    <w:rsid w:val="00F47C01"/>
    <w:rsid w:val="00F5038E"/>
    <w:rsid w:val="00F76E5A"/>
    <w:rsid w:val="00F77BEC"/>
    <w:rsid w:val="00F827AF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8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fcf04dab-dc09-4c96-8051-2bc2fa59da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38</cp:revision>
  <cp:lastPrinted>2022-03-16T09:08:00Z</cp:lastPrinted>
  <dcterms:created xsi:type="dcterms:W3CDTF">2022-02-16T08:26:00Z</dcterms:created>
  <dcterms:modified xsi:type="dcterms:W3CDTF">2022-04-05T12:04:00Z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