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0B58" w14:textId="51D37369" w:rsidR="002F0C22" w:rsidRPr="002F0C22" w:rsidRDefault="00500887" w:rsidP="002F0C22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SEDE PER LIDL A PAULLO (MI)</w:t>
      </w:r>
    </w:p>
    <w:p w14:paraId="68716E1F" w14:textId="45089EB8" w:rsidR="004C1E50" w:rsidRPr="00FB709F" w:rsidRDefault="00500887" w:rsidP="004C1E50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 8 nuovi posti di lavoro</w:t>
      </w:r>
    </w:p>
    <w:p w14:paraId="5A9DE2F1" w14:textId="6548011D" w:rsidR="00102D32" w:rsidRPr="007651DA" w:rsidRDefault="004F5FB7" w:rsidP="007651DA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altre </w:t>
      </w:r>
      <w:r w:rsidR="000E3F28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tr</w:t>
      </w:r>
      <w:r w:rsidR="004C1E50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e</w:t>
      </w:r>
      <w:r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nuove aperture </w:t>
      </w:r>
      <w:bookmarkEnd w:id="0"/>
      <w:r w:rsidR="00BF2AD0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 </w:t>
      </w:r>
      <w:r w:rsidR="000E3F28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Cesano Maderno (MB), </w:t>
      </w:r>
      <w:r w:rsidR="00BF2AD0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V</w:t>
      </w:r>
      <w:r w:rsidR="000E3F28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erona</w:t>
      </w:r>
      <w:r w:rsidR="0050088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Caltanissetta</w:t>
      </w:r>
    </w:p>
    <w:p w14:paraId="5C218C83" w14:textId="77777777" w:rsidR="004C1E50" w:rsidRPr="004C1E50" w:rsidRDefault="004C1E50" w:rsidP="000E3F28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5AB17F96" w14:textId="036842B9" w:rsidR="00E949FE" w:rsidRDefault="00C97BA6" w:rsidP="00E949F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Paullo (MI)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173B1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6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gennaio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bookmarkStart w:id="1" w:name="_Hlk124929212"/>
      <w:r w:rsidR="00E949FE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E949FE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 Catena di supermercati leader nella GDO con oltre 700 punti vendita nel Paese,</w:t>
      </w:r>
      <w:r w:rsidR="000E3F28" w:rsidRPr="000E3F28">
        <w:rPr>
          <w:rFonts w:asciiTheme="minorHAnsi" w:hAnsiTheme="minorHAnsi" w:cstheme="minorHAnsi"/>
          <w:sz w:val="22"/>
          <w:szCs w:val="22"/>
          <w:lang w:val="it-IT"/>
        </w:rPr>
        <w:t xml:space="preserve"> d</w:t>
      </w:r>
      <w:r w:rsidR="000E3F28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à il benvenuto al 2023 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>inaugurando ben 8 nuovi punti vendita in meno di un mese. Solo questa mattina, infatti, l’Azienda</w:t>
      </w:r>
      <w:r w:rsidR="000E3F28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festeggia quattro tagli del nastro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i quali si aggiungono a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>lle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altrettante 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>aperture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>celebrate in tutta Italia n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elle 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scorse 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>settimane</w:t>
      </w:r>
      <w:r w:rsidR="00E949FE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inaugurazioni di oggi hanno aperto al pubblico i </w:t>
      </w:r>
      <w:r w:rsidR="00E949FE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nuovi punti vendita 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>di</w:t>
      </w:r>
      <w:r w:rsidR="00E949F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0E3F28">
        <w:rPr>
          <w:rFonts w:asciiTheme="minorHAnsi" w:hAnsiTheme="minorHAnsi" w:cstheme="minorHAnsi"/>
          <w:b/>
          <w:sz w:val="22"/>
          <w:szCs w:val="22"/>
          <w:lang w:val="it-IT"/>
        </w:rPr>
        <w:t>Caltanissetta, Cesano Maderno (MB), Paullo (MI) e Verona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BC1B41"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BC1B4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C1B41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genera</w:t>
      </w:r>
      <w:r w:rsidR="00BC1B41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complessivamente </w:t>
      </w:r>
      <w:r w:rsidR="00BC1B41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impatto</w:t>
      </w:r>
      <w:r w:rsidR="00BC1B4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occupazionale positivo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7651DA" w:rsidRPr="007651DA">
        <w:rPr>
          <w:rFonts w:asciiTheme="minorHAnsi" w:hAnsiTheme="minorHAnsi" w:cstheme="minorHAnsi"/>
          <w:b/>
          <w:sz w:val="22"/>
          <w:szCs w:val="22"/>
          <w:lang w:val="it-IT"/>
        </w:rPr>
        <w:t xml:space="preserve">oltre 30 </w:t>
      </w:r>
      <w:r w:rsidR="00BC1B41" w:rsidRPr="00765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BC1B4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grande squadra Lidl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più di 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.000 persone 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BC1B4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1"/>
    <w:p w14:paraId="09243583" w14:textId="77777777" w:rsidR="00A77829" w:rsidRPr="00FB709F" w:rsidRDefault="00A77829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4D2C92B" w14:textId="6A459247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C97BA6">
        <w:rPr>
          <w:rFonts w:cs="Calibri-Bold"/>
          <w:b/>
          <w:bCs/>
          <w:color w:val="1F497D" w:themeColor="text2"/>
          <w:sz w:val="28"/>
          <w:szCs w:val="26"/>
          <w:lang w:val="it-IT"/>
        </w:rPr>
        <w:t>Paullo (MI)</w:t>
      </w:r>
    </w:p>
    <w:p w14:paraId="28406431" w14:textId="66922465" w:rsidR="00500887" w:rsidRDefault="00500887" w:rsidP="0050088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Dopo le aperture dei due nuovi punti vendita </w:t>
      </w:r>
      <w:r w:rsidRPr="004F744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Milano in Viale Lancetti e in Piazzale Lodi delle scorse settimane, Lidl continua a puntare sullo sviluppo della propria rete vendita nel capoluogo lombardo e nel suo hinterland con l’inaugurazione, alla </w:t>
      </w:r>
      <w:r w:rsidRPr="00BD291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presenza del Sindaco Federico Lorenzini</w:t>
      </w:r>
      <w:r w:rsidRPr="004F744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della nuova sede dello store di Paullo (MI) che si sposta da Via Vittime di Nassirya a Via Santa Maria Mazzarello</w:t>
      </w:r>
      <w:r w:rsidR="003D3BC8" w:rsidRPr="004F744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(zona San </w:t>
      </w:r>
      <w:proofErr w:type="spellStart"/>
      <w:r w:rsidR="003D3BC8" w:rsidRPr="004F744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Pedrino</w:t>
      </w:r>
      <w:proofErr w:type="spellEnd"/>
      <w:r w:rsidR="003D3BC8" w:rsidRPr="004F744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)</w:t>
      </w:r>
      <w:r w:rsidRPr="004F744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</w:t>
      </w:r>
      <w:r w:rsidRPr="004F7446">
        <w:rPr>
          <w:rFonts w:asciiTheme="minorHAnsi" w:hAnsiTheme="minorHAnsi" w:cstheme="minorHAnsi"/>
          <w:bCs/>
          <w:color w:val="auto"/>
          <w:sz w:val="22"/>
          <w:szCs w:val="22"/>
        </w:rPr>
        <w:t>Questa apertura ha portato anche all’assunzione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proofErr w:type="gramStart"/>
      <w:r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proofErr w:type="gramEnd"/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3D3BC8">
        <w:rPr>
          <w:rFonts w:asciiTheme="minorHAnsi" w:hAnsiTheme="minorHAnsi" w:cstheme="minorHAnsi"/>
          <w:b/>
          <w:color w:val="auto"/>
          <w:sz w:val="22"/>
          <w:szCs w:val="22"/>
        </w:rPr>
        <w:t>collaboratori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garantire la massima </w:t>
      </w:r>
      <w:r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flessibilità di servizio gli orari di apertura del nuovo punto vendita Lidl sono i seguenti: </w:t>
      </w:r>
      <w:r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 lunedì </w:t>
      </w:r>
      <w:r w:rsidR="008E3AC4">
        <w:rPr>
          <w:rFonts w:asciiTheme="minorHAnsi" w:hAnsiTheme="minorHAnsi" w:cstheme="minorHAnsi"/>
          <w:b/>
          <w:color w:val="auto"/>
          <w:sz w:val="22"/>
          <w:szCs w:val="22"/>
        </w:rPr>
        <w:t>a sabato</w:t>
      </w:r>
      <w:r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dalle 8:00 alle 21:00</w:t>
      </w:r>
      <w:r w:rsidR="008E3AC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 domenica dalle 08:00 alle 20:00</w:t>
      </w:r>
      <w:r w:rsidRPr="00323973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favore della clientela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sono presenti in totale </w:t>
      </w:r>
      <w:r w:rsidRPr="00323973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8E3AC4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Pr="00323973">
        <w:rPr>
          <w:rFonts w:asciiTheme="minorHAnsi" w:hAnsiTheme="minorHAnsi" w:cstheme="minorHAnsi"/>
          <w:b/>
          <w:color w:val="auto"/>
          <w:sz w:val="22"/>
          <w:szCs w:val="22"/>
        </w:rPr>
        <w:t>0 posti auto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27B70437" w14:textId="77777777" w:rsidR="008E3AC4" w:rsidRPr="00D67114" w:rsidRDefault="008E3AC4" w:rsidP="0050088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A6B2373" w14:textId="77777777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edificio attento all’ambiente</w:t>
      </w:r>
    </w:p>
    <w:p w14:paraId="213B4F07" w14:textId="233FCCB7" w:rsidR="00781E7E" w:rsidRPr="00921B1D" w:rsidRDefault="008E3AC4" w:rsidP="00781E7E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L’immobile, che sviluppa un’area vendita di oltre 1.400 mq, è stato progettato con la massima attenzione alla sostenibilità ambientale e all’efficientamento energetico. Sul tetto della struttura, infatti, è installato un impianto fotovoltaico da circa 200 kW</w:t>
      </w:r>
      <w:r w:rsidR="00921B1D">
        <w:rPr>
          <w:sz w:val="22"/>
          <w:szCs w:val="22"/>
        </w:rPr>
        <w:t>. L’impianto di illuminazione impiega esclusivamente luci</w:t>
      </w:r>
      <w:r w:rsidR="00921B1D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 LED che consent</w:t>
      </w:r>
      <w:r w:rsidR="00921B1D">
        <w:rPr>
          <w:rFonts w:asciiTheme="minorHAnsi" w:hAnsiTheme="minorHAnsi" w:cstheme="minorHAnsi"/>
          <w:b/>
          <w:color w:val="auto"/>
          <w:sz w:val="22"/>
          <w:szCs w:val="22"/>
        </w:rPr>
        <w:t>ono un</w:t>
      </w:r>
      <w:r w:rsidR="00921B1D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 w:rsidR="00921B1D"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="00921B1D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="00921B1D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="00921B1D"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921B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viene impiegata</w:t>
      </w:r>
      <w:r w:rsidR="00921B1D"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="00921B1D"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="00921B1D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21B1D">
        <w:rPr>
          <w:sz w:val="22"/>
          <w:szCs w:val="22"/>
        </w:rPr>
        <w:t xml:space="preserve">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tratta quindi di una struttura che rispetta appieno le 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importanti misure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l’Insegna ha attuato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negli ultimi anni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AA4C41">
        <w:rPr>
          <w:rFonts w:asciiTheme="minorHAnsi" w:hAnsiTheme="minorHAnsi" w:cstheme="minorHAnsi"/>
          <w:b/>
          <w:color w:val="auto"/>
          <w:sz w:val="22"/>
          <w:szCs w:val="22"/>
        </w:rPr>
        <w:t>verso la completa sostenibilità energetica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, concretizzando il proprio passaggio da un mix energetico centrato sui combustibili fossili a uno basato sulle fonti rinnovabili.</w:t>
      </w:r>
    </w:p>
    <w:p w14:paraId="6D3F5E9D" w14:textId="5F6640E6" w:rsidR="00500887" w:rsidRDefault="00500887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0D4A027" w14:textId="2810E7E3" w:rsidR="00921B1D" w:rsidRDefault="00921B1D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B9CC2B6" w14:textId="77777777" w:rsidR="00921B1D" w:rsidRDefault="00921B1D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B5379D5" w14:textId="7E273A22" w:rsidR="00781E7E" w:rsidRDefault="00781E7E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lastRenderedPageBreak/>
        <w:t xml:space="preserve">Una spesa smart e </w:t>
      </w:r>
      <w:r w:rsidR="00A7512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sostenibile</w:t>
      </w:r>
    </w:p>
    <w:p w14:paraId="4C75ECB8" w14:textId="6F4CA4BB" w:rsidR="00781E7E" w:rsidRPr="00A75123" w:rsidRDefault="00781E7E" w:rsidP="00A7512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</w:rPr>
        <w:t>offre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un ampio assortimento e di un’esperienza di acquisto semplice e smart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. A partire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fino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F744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al </w:t>
      </w:r>
      <w:r w:rsidR="004F7446" w:rsidRPr="004F7446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corner dedicato alla gastronomia </w:t>
      </w:r>
      <w:r w:rsidR="004F744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tante proposte di </w:t>
      </w:r>
      <w:r w:rsidR="004F7446" w:rsidRPr="004F7446">
        <w:rPr>
          <w:rFonts w:asciiTheme="minorHAnsi" w:hAnsiTheme="minorHAnsi" w:cstheme="minorHAnsi"/>
          <w:bCs/>
          <w:color w:val="auto"/>
          <w:sz w:val="22"/>
          <w:szCs w:val="22"/>
        </w:rPr>
        <w:t>piatti pronti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l’Azienda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</w:rPr>
        <w:t>inserito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proprio assortimento una vasta scelta di </w:t>
      </w:r>
      <w:r w:rsidR="00A75123"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certificati V-Label </w:t>
      </w:r>
      <w:r w:rsid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e </w:t>
      </w:r>
      <w:r w:rsidR="00A75123"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clima neutrali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marchio </w:t>
      </w:r>
      <w:proofErr w:type="spellStart"/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Vemondo</w:t>
      </w:r>
      <w:proofErr w:type="spellEnd"/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. Una decisione che consente 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nche a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lla clientela di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Caltanisetta di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accedere ad un’offerta di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referenze ecosostenibili continuative, come yogurt, gelati, pizze, lasagne, burger e cotolette a base vegetale, a cui si aggiungono numerosi articoli promozionali.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Infine,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 Italia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ottimo rapporto qualità-prezzo. </w:t>
      </w:r>
    </w:p>
    <w:p w14:paraId="50C47244" w14:textId="6B3BCD97" w:rsidR="0029003D" w:rsidRPr="001D4599" w:rsidRDefault="0029003D" w:rsidP="005402F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3F6E2093" w14:textId="4C2305AC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7DD3B5E0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3122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5321"/>
    <w:rsid w:val="003C6067"/>
    <w:rsid w:val="003D0CDB"/>
    <w:rsid w:val="003D0D62"/>
    <w:rsid w:val="003D0FC1"/>
    <w:rsid w:val="003D17D3"/>
    <w:rsid w:val="003D1C14"/>
    <w:rsid w:val="003D3BC8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558A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6791"/>
    <w:rsid w:val="004C1E50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4F7446"/>
    <w:rsid w:val="0050059B"/>
    <w:rsid w:val="00500887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51DA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6EBF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3AC4"/>
    <w:rsid w:val="008E5D01"/>
    <w:rsid w:val="008F3883"/>
    <w:rsid w:val="008F5D82"/>
    <w:rsid w:val="00904237"/>
    <w:rsid w:val="00910E16"/>
    <w:rsid w:val="0091228F"/>
    <w:rsid w:val="00917623"/>
    <w:rsid w:val="00917877"/>
    <w:rsid w:val="00921B1D"/>
    <w:rsid w:val="00921CB4"/>
    <w:rsid w:val="00925724"/>
    <w:rsid w:val="0093165D"/>
    <w:rsid w:val="00931DF9"/>
    <w:rsid w:val="0093340C"/>
    <w:rsid w:val="00933BC4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90D8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291D"/>
    <w:rsid w:val="00BD500F"/>
    <w:rsid w:val="00BF2955"/>
    <w:rsid w:val="00BF2AD0"/>
    <w:rsid w:val="00BF3634"/>
    <w:rsid w:val="00C05339"/>
    <w:rsid w:val="00C066A8"/>
    <w:rsid w:val="00C118D7"/>
    <w:rsid w:val="00C13481"/>
    <w:rsid w:val="00C144E8"/>
    <w:rsid w:val="00C20DF0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97BA6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fcf04dab-dc09-4c96-8051-2bc2fa59da3e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6</cp:revision>
  <cp:lastPrinted>2023-01-19T13:20:00Z</cp:lastPrinted>
  <dcterms:created xsi:type="dcterms:W3CDTF">2023-01-18T09:05:00Z</dcterms:created>
  <dcterms:modified xsi:type="dcterms:W3CDTF">2023-01-20T16:30:00Z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