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F4C058" w14:textId="247BDAC5" w:rsidR="00891C36" w:rsidRDefault="00471DDB" w:rsidP="0058301F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proofErr w:type="gramStart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16°</w:t>
      </w:r>
      <w:proofErr w:type="gramEnd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punto vendita per Lidl a torino</w:t>
      </w:r>
    </w:p>
    <w:p w14:paraId="127DDFDF" w14:textId="4C72F82A" w:rsidR="00FA2AF5" w:rsidRPr="00BB6F79" w:rsidRDefault="00FA2AF5" w:rsidP="00FA2AF5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 1</w:t>
      </w:r>
      <w:r w:rsidR="00123D28">
        <w:rPr>
          <w:rFonts w:asciiTheme="minorHAnsi" w:hAnsiTheme="minorHAnsi" w:cstheme="minorHAnsi"/>
          <w:bCs/>
          <w:i/>
          <w:sz w:val="28"/>
          <w:szCs w:val="28"/>
          <w:lang w:val="it-IT"/>
        </w:rPr>
        <w:t>9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nuovi posti di lavoro</w:t>
      </w:r>
    </w:p>
    <w:p w14:paraId="02B88D9F" w14:textId="77777777" w:rsidR="00591118" w:rsidRPr="00DA6CD3" w:rsidRDefault="00591118" w:rsidP="00591118">
      <w:pPr>
        <w:pStyle w:val="EinfAbs"/>
        <w:numPr>
          <w:ilvl w:val="0"/>
          <w:numId w:val="12"/>
        </w:numPr>
        <w:ind w:right="-428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In contemporanea, o</w:t>
      </w: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ggi l'Azienda inaugura 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ben </w:t>
      </w: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>sei punti vendita a Lecco, Torino, Milano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(doppia apertura)</w:t>
      </w:r>
      <w:r w:rsidRPr="00DA6CD3">
        <w:rPr>
          <w:rFonts w:asciiTheme="minorHAnsi" w:hAnsiTheme="minorHAnsi" w:cstheme="minorHAnsi"/>
          <w:bCs/>
          <w:i/>
          <w:sz w:val="28"/>
          <w:szCs w:val="28"/>
          <w:lang w:val="it-IT"/>
        </w:rPr>
        <w:t>, Cattolica (RN) e Roma</w:t>
      </w:r>
    </w:p>
    <w:p w14:paraId="5C218C83" w14:textId="77777777" w:rsidR="004C1E50" w:rsidRPr="004C1E50" w:rsidRDefault="004C1E50" w:rsidP="00650415">
      <w:pPr>
        <w:pStyle w:val="EinfAbs"/>
        <w:rPr>
          <w:rFonts w:cs="Calibri-Bold"/>
          <w:bCs/>
          <w:i/>
          <w:iCs/>
          <w:color w:val="auto"/>
          <w:sz w:val="22"/>
          <w:szCs w:val="22"/>
          <w:lang w:val="it-IT"/>
        </w:rPr>
      </w:pPr>
    </w:p>
    <w:p w14:paraId="2D525EBA" w14:textId="1F28856B" w:rsidR="00424CB1" w:rsidRDefault="0058301F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Torino</w:t>
      </w:r>
      <w:r w:rsidR="00335CFE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753B60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23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febbraio </w:t>
      </w:r>
      <w:r w:rsidR="00424CB1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424CB1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3 </w:t>
      </w:r>
      <w:r w:rsidR="00335CFE" w:rsidRPr="00FB709F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r w:rsidR="00650E21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951104" w:rsidRPr="000E3F28">
        <w:rPr>
          <w:rFonts w:asciiTheme="minorHAnsi" w:hAnsiTheme="minorHAnsi" w:cstheme="minorHAnsi"/>
          <w:b/>
          <w:sz w:val="22"/>
          <w:szCs w:val="22"/>
          <w:lang w:val="it-IT"/>
        </w:rPr>
        <w:t>Lidl Italia</w:t>
      </w:r>
      <w:r w:rsidR="00951104" w:rsidRPr="000E3F28">
        <w:rPr>
          <w:rFonts w:asciiTheme="minorHAnsi" w:hAnsiTheme="minorHAnsi" w:cstheme="minorHAnsi"/>
          <w:bCs/>
          <w:sz w:val="22"/>
          <w:szCs w:val="22"/>
          <w:lang w:val="it-IT"/>
        </w:rPr>
        <w:t>,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95110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C</w:t>
      </w:r>
      <w:r w:rsidR="0095110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atena di supermercati leader nella GDO con</w:t>
      </w:r>
      <w:r w:rsidR="0095110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oltre</w:t>
      </w:r>
      <w:r w:rsidR="0095110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700 punti vendita nel Paese, </w:t>
      </w:r>
      <w:r w:rsidR="0095110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 appresta a chiudere il mese di febbraio con un </w:t>
      </w:r>
      <w:r w:rsidR="00951104" w:rsidRPr="005E135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exploit </w:t>
      </w:r>
      <w:r w:rsidR="0095110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di nuovi punti vendita. 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>Questa mattina, infatti, l’Azienda</w:t>
      </w:r>
      <w:r w:rsidR="00951104" w:rsidRPr="009D3D12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951104">
        <w:rPr>
          <w:rFonts w:asciiTheme="minorHAnsi" w:hAnsiTheme="minorHAnsi" w:cstheme="minorHAnsi"/>
          <w:b/>
          <w:sz w:val="22"/>
          <w:szCs w:val="22"/>
          <w:lang w:val="it-IT"/>
        </w:rPr>
        <w:t xml:space="preserve">ha inaugurato in contemporanea i suoi nuovi store di </w:t>
      </w:r>
      <w:r w:rsidR="00951104" w:rsidRPr="00753B60">
        <w:rPr>
          <w:rFonts w:asciiTheme="minorHAnsi" w:hAnsiTheme="minorHAnsi" w:cstheme="minorHAnsi"/>
          <w:b/>
          <w:sz w:val="22"/>
          <w:szCs w:val="22"/>
          <w:lang w:val="it-IT"/>
        </w:rPr>
        <w:t>Cattolica (RN)</w:t>
      </w:r>
      <w:r w:rsidR="00951104"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951104" w:rsidRPr="00753B60">
        <w:rPr>
          <w:rFonts w:asciiTheme="minorHAnsi" w:hAnsiTheme="minorHAnsi" w:cstheme="minorHAnsi"/>
          <w:b/>
          <w:sz w:val="22"/>
          <w:szCs w:val="22"/>
          <w:lang w:val="it-IT"/>
        </w:rPr>
        <w:t>Lecco, Torino</w:t>
      </w:r>
      <w:r w:rsidR="00951104">
        <w:rPr>
          <w:rFonts w:asciiTheme="minorHAnsi" w:hAnsiTheme="minorHAnsi" w:cstheme="minorHAnsi"/>
          <w:b/>
          <w:sz w:val="22"/>
          <w:szCs w:val="22"/>
          <w:lang w:val="it-IT"/>
        </w:rPr>
        <w:t>,</w:t>
      </w:r>
      <w:r w:rsidR="00951104" w:rsidRPr="0091238E">
        <w:rPr>
          <w:rFonts w:asciiTheme="minorHAnsi" w:hAnsiTheme="minorHAnsi" w:cstheme="minorHAnsi"/>
          <w:b/>
          <w:sz w:val="22"/>
          <w:szCs w:val="22"/>
          <w:lang w:val="it-IT"/>
        </w:rPr>
        <w:t xml:space="preserve"> Roma</w:t>
      </w:r>
      <w:r w:rsidR="00951104" w:rsidRPr="007F7E1C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e in doppia sede </w:t>
      </w:r>
      <w:r w:rsidR="00951104" w:rsidRPr="0091238E">
        <w:rPr>
          <w:rFonts w:asciiTheme="minorHAnsi" w:hAnsiTheme="minorHAnsi" w:cstheme="minorHAnsi"/>
          <w:b/>
          <w:sz w:val="22"/>
          <w:szCs w:val="22"/>
          <w:lang w:val="it-IT"/>
        </w:rPr>
        <w:t>a Milano</w:t>
      </w:r>
      <w:r w:rsidR="00951104" w:rsidRPr="001E55D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Le </w:t>
      </w:r>
      <w:r w:rsidR="00951104" w:rsidRPr="00867E7D">
        <w:rPr>
          <w:rFonts w:asciiTheme="minorHAnsi" w:hAnsiTheme="minorHAnsi" w:cstheme="minorHAnsi"/>
          <w:b/>
          <w:sz w:val="22"/>
          <w:szCs w:val="22"/>
          <w:lang w:val="it-IT"/>
        </w:rPr>
        <w:t>sei aperture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si aggiungono alle 13 realizzate da Lidl da inizio anno a oggi</w:t>
      </w:r>
      <w:r w:rsidR="00951104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, 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>a testimonianza</w:t>
      </w:r>
      <w:r w:rsidR="00951104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di un piano di sviluppo strutturato </w:t>
      </w:r>
      <w:r w:rsidR="00951104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da 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>N</w:t>
      </w:r>
      <w:r w:rsidR="00951104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ord a 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>S</w:t>
      </w:r>
      <w:r w:rsidR="00951104" w:rsidRPr="00FE4F47">
        <w:rPr>
          <w:rFonts w:asciiTheme="minorHAnsi" w:hAnsiTheme="minorHAnsi" w:cstheme="minorHAnsi"/>
          <w:bCs/>
          <w:sz w:val="22"/>
          <w:szCs w:val="22"/>
          <w:lang w:val="it-IT"/>
        </w:rPr>
        <w:t>ud</w:t>
      </w:r>
      <w:r w:rsidR="00951104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del Paese.</w:t>
      </w:r>
      <w:r w:rsidR="00951104" w:rsidRPr="00FE4F47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 </w:t>
      </w:r>
      <w:r w:rsidR="00951104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intervento </w:t>
      </w:r>
      <w:r w:rsidR="00951104" w:rsidRPr="004D25D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significativo per il territorio anche dal punto di vista occupazionale, grazie alla </w:t>
      </w:r>
      <w:r w:rsidR="00951104" w:rsidRPr="004D25D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creazione di </w:t>
      </w:r>
      <w:proofErr w:type="gramStart"/>
      <w:r w:rsidR="00AE55B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100</w:t>
      </w:r>
      <w:proofErr w:type="gramEnd"/>
      <w:r w:rsidR="00951104" w:rsidRPr="004D25D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di lavor</w:t>
      </w:r>
      <w:r w:rsidR="00951104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o</w:t>
      </w:r>
      <w:r w:rsidR="00951104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.</w:t>
      </w:r>
    </w:p>
    <w:p w14:paraId="4C08CA81" w14:textId="77777777" w:rsidR="00424CB1" w:rsidRDefault="00424CB1" w:rsidP="00424CB1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3AA93E27" w14:textId="77777777" w:rsidR="0058301F" w:rsidRDefault="007E5063" w:rsidP="00FA78F1">
      <w:pPr>
        <w:pBdr>
          <w:bottom w:val="single" w:sz="4" w:space="0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Lidl</w:t>
      </w:r>
      <w:r w:rsidR="007E0179">
        <w:rPr>
          <w:rFonts w:cs="Calibri-Bold"/>
          <w:b/>
          <w:bCs/>
          <w:color w:val="1F497D" w:themeColor="text2"/>
          <w:sz w:val="28"/>
          <w:szCs w:val="26"/>
          <w:lang w:val="it-IT"/>
        </w:rPr>
        <w:t xml:space="preserve"> </w:t>
      </w:r>
      <w:r w:rsidR="0058301F">
        <w:rPr>
          <w:rFonts w:cs="Calibri-Bold"/>
          <w:b/>
          <w:bCs/>
          <w:color w:val="1F497D" w:themeColor="text2"/>
          <w:sz w:val="28"/>
          <w:szCs w:val="26"/>
          <w:lang w:val="it-IT"/>
        </w:rPr>
        <w:t>a Torino</w:t>
      </w:r>
    </w:p>
    <w:p w14:paraId="2FE4B73B" w14:textId="3206BF85" w:rsidR="00FA78F1" w:rsidRPr="00B40CFC" w:rsidRDefault="00FA78F1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A quasi un anno di distanza dalla sua ultima apertura in Borgo Filadelfia, Lidl Italia </w:t>
      </w:r>
      <w:r w:rsidR="0059111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amplia la sua presenza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a Torino </w:t>
      </w:r>
      <w:r w:rsidR="0059111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inaugurando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il suo </w:t>
      </w:r>
      <w:proofErr w:type="gramStart"/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1</w:t>
      </w:r>
      <w:r w:rsidR="0059111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6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°</w:t>
      </w:r>
      <w:proofErr w:type="gramEnd"/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punto vendita</w:t>
      </w:r>
      <w:r w:rsidR="00591118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in Via Lancia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. </w:t>
      </w:r>
      <w:r w:rsidR="0059111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L’operazione ha una ricaduta occupazionale positiva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grazie all’assunzione di </w:t>
      </w:r>
      <w:r w:rsidRPr="003A238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1</w:t>
      </w:r>
      <w:r w:rsidR="003A238A" w:rsidRPr="003A238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9</w:t>
      </w:r>
      <w:r w:rsidRPr="003A238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</w:t>
      </w:r>
      <w:r w:rsidR="005D6E17" w:rsidRPr="003A238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nuovi </w:t>
      </w:r>
      <w:r w:rsidRPr="003A238A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collaboratori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che si aggiungono alla grande squadra di cui fanno parte più di 21.000 persone su tutto il territorio nazionale. Il supermercato, che si estende su una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superficie commerciale di oltre 1200 mq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, è aperto al pubblico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dal lunedì al sabato dalle 8:00 alle 21:30 e la domenica dalle 8:00 alle 21:00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per garantire sempre la massima flessibilità di servizio</w:t>
      </w:r>
      <w:r w:rsidR="00B5567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. A favore della clientela, inoltre, </w:t>
      </w:r>
      <w:r w:rsidR="00B55670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dispone di </w:t>
      </w:r>
      <w:r w:rsidR="009E3CA0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due</w:t>
      </w:r>
      <w:r w:rsidR="00B55670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 xml:space="preserve"> parcheggi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: uno</w:t>
      </w:r>
      <w:r w:rsidR="00B5567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interrato 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con</w:t>
      </w:r>
      <w:r w:rsidR="00B5567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B55670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oltre 130 posti auto</w:t>
      </w:r>
      <w:r w:rsidR="00B5567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e 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uno eterno composto da </w:t>
      </w:r>
      <w:r w:rsidR="009E3CA0"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17 ulteriori posteggi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4E3E99CC" w14:textId="77777777" w:rsidR="00FA78F1" w:rsidRPr="009748E5" w:rsidRDefault="00FA78F1" w:rsidP="00650415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</w:p>
    <w:p w14:paraId="11790573" w14:textId="239CCD29" w:rsidR="00CA14E7" w:rsidRPr="00CA14E7" w:rsidRDefault="00FA78F1" w:rsidP="00650415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Zero consumo di suolo </w:t>
      </w:r>
      <w:proofErr w:type="gramStart"/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ed</w:t>
      </w:r>
      <w:proofErr w:type="gramEnd"/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edilizia green</w:t>
      </w:r>
    </w:p>
    <w:p w14:paraId="3AD6DC83" w14:textId="4B98EAAD" w:rsidR="00FA78F1" w:rsidRPr="00B40CFC" w:rsidRDefault="00FA78F1" w:rsidP="00B40CFC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</w:pP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Il punto vendita Lidl rispetta i più recenti metodi di costruzione aziendale volti a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ridurre il più possibile l’impatto ambientale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e dispone di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avanzati sistemi per incrementare la propria efficienza energetica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. La nuova struttura è, infatti, frutto di un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intervento con un consumo di suolo pari a zero</w:t>
      </w:r>
      <w:r w:rsidR="00802375" w:rsidRPr="005D6E17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="00F42253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grazie alla</w:t>
      </w:r>
      <w:r w:rsidR="0059111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riqualificazione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edilizia del</w:t>
      </w:r>
      <w:r w:rsidR="00591118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l’ex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sito produttivo della casa automobilistica Lancia </w:t>
      </w:r>
      <w:r w:rsidR="00B5567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chiuso negli</w:t>
      </w:r>
      <w:r w:rsidR="00B55670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anni </w:t>
      </w:r>
      <w:r w:rsidR="0080237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’</w:t>
      </w:r>
      <w:r w:rsidR="00B55670"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90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 Lo store, inoltre,</w:t>
      </w:r>
      <w:r w:rsidR="0080237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utilizza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energia proveniente al 100% da fonti rinnovabili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e sul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tetto è presente un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impianto fotovoltaico da 105kW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 A</w:t>
      </w:r>
      <w:r w:rsidR="0080237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ll’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interno</w:t>
      </w:r>
      <w:r w:rsidR="009E3CA0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,</w:t>
      </w:r>
      <w:r w:rsidR="00802375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l’illuminazione è garantita da un sistema di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luci a LED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 xml:space="preserve"> che consente il </w:t>
      </w:r>
      <w:r w:rsidRPr="005D6E17">
        <w:rPr>
          <w:rFonts w:asciiTheme="minorHAnsi" w:eastAsiaTheme="minorHAnsi" w:hAnsiTheme="minorHAnsi" w:cstheme="minorHAnsi"/>
          <w:b/>
          <w:sz w:val="22"/>
          <w:szCs w:val="22"/>
          <w:lang w:eastAsia="en-US"/>
        </w:rPr>
        <w:t>risparmio di oltre il 50% rispetto alle precedenti tecnologie</w:t>
      </w:r>
      <w:r w:rsidRPr="00B40CFC">
        <w:rPr>
          <w:rFonts w:asciiTheme="minorHAnsi" w:eastAsiaTheme="minorHAnsi" w:hAnsiTheme="minorHAnsi" w:cstheme="minorHAnsi"/>
          <w:bCs/>
          <w:sz w:val="22"/>
          <w:szCs w:val="22"/>
          <w:lang w:eastAsia="en-US"/>
        </w:rPr>
        <w:t>.</w:t>
      </w:r>
    </w:p>
    <w:p w14:paraId="1A3ECA41" w14:textId="75E1E751" w:rsidR="00B40CFC" w:rsidRDefault="00B40CFC" w:rsidP="00D00F24">
      <w:pPr>
        <w:spacing w:after="0" w:line="288" w:lineRule="auto"/>
        <w:jc w:val="both"/>
        <w:rPr>
          <w:rFonts w:cs="Calibri-Bold"/>
          <w:bCs/>
          <w:lang w:val="it-IT"/>
        </w:rPr>
      </w:pPr>
    </w:p>
    <w:p w14:paraId="7674081B" w14:textId="28E12C9D" w:rsidR="00B40CFC" w:rsidRDefault="00B40CFC" w:rsidP="00B40CFC">
      <w:pPr>
        <w:pStyle w:val="EinfAbs"/>
        <w:jc w:val="both"/>
        <w:rPr>
          <w:rFonts w:cs="Calibri-Bold"/>
          <w:bCs/>
          <w:lang w:val="it-IT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Attenzione al territorio</w:t>
      </w:r>
    </w:p>
    <w:p w14:paraId="45C19169" w14:textId="189551AC" w:rsidR="00FA78F1" w:rsidRDefault="00FA78F1" w:rsidP="00D00F24">
      <w:pPr>
        <w:spacing w:after="0" w:line="288" w:lineRule="auto"/>
        <w:jc w:val="both"/>
        <w:rPr>
          <w:rFonts w:cs="Calibri-Bold"/>
          <w:bCs/>
          <w:lang w:val="it-IT"/>
        </w:rPr>
      </w:pPr>
      <w:r w:rsidRPr="002D738E">
        <w:rPr>
          <w:rFonts w:cs="Calibri-Bold"/>
          <w:bCs/>
          <w:lang w:val="it-IT"/>
        </w:rPr>
        <w:t xml:space="preserve">Lidl Italia, da sempre attenta al territorio in cui opera, con questa nuova </w:t>
      </w:r>
      <w:r w:rsidR="00591118">
        <w:rPr>
          <w:rFonts w:cs="Calibri-Bold"/>
          <w:bCs/>
          <w:lang w:val="it-IT"/>
        </w:rPr>
        <w:t xml:space="preserve">operazione prende parte al </w:t>
      </w:r>
      <w:r w:rsidR="00591118" w:rsidRPr="002D738E">
        <w:rPr>
          <w:rFonts w:cs="Calibri-Bold"/>
          <w:bCs/>
          <w:lang w:val="it-IT"/>
        </w:rPr>
        <w:t>Programma</w:t>
      </w:r>
      <w:r w:rsidR="00591118" w:rsidRPr="00591118">
        <w:rPr>
          <w:rFonts w:cs="Calibri-Bold"/>
          <w:bCs/>
          <w:lang w:val="it-IT"/>
        </w:rPr>
        <w:t xml:space="preserve"> Integrato relativo all’area occupata dagli stabilimenti ex Lancia</w:t>
      </w:r>
      <w:r w:rsidR="00591118">
        <w:rPr>
          <w:rFonts w:cs="Calibri-Bold"/>
          <w:bCs/>
          <w:lang w:val="it-IT"/>
        </w:rPr>
        <w:t>.</w:t>
      </w:r>
      <w:r w:rsidR="00591118" w:rsidRPr="00591118">
        <w:rPr>
          <w:rFonts w:cs="Calibri-Bold"/>
          <w:bCs/>
          <w:lang w:val="it-IT"/>
        </w:rPr>
        <w:t xml:space="preserve"> Il progetto urbanistico ha previsto la trasformazione degli </w:t>
      </w:r>
      <w:r w:rsidR="004E31AD">
        <w:rPr>
          <w:rFonts w:cs="Calibri-Bold"/>
          <w:bCs/>
          <w:lang w:val="it-IT"/>
        </w:rPr>
        <w:t>spazi</w:t>
      </w:r>
      <w:r w:rsidR="00591118" w:rsidRPr="00591118">
        <w:rPr>
          <w:rFonts w:cs="Calibri-Bold"/>
          <w:bCs/>
          <w:lang w:val="it-IT"/>
        </w:rPr>
        <w:t xml:space="preserve"> ai fini della realizzazione di un nuovo quartiere a destinazione </w:t>
      </w:r>
      <w:r w:rsidR="00591118" w:rsidRPr="00591118">
        <w:rPr>
          <w:rFonts w:cs="Calibri-Bold"/>
          <w:bCs/>
          <w:lang w:val="it-IT"/>
        </w:rPr>
        <w:lastRenderedPageBreak/>
        <w:t>residenziale e terziario-commerciale</w:t>
      </w:r>
      <w:r w:rsidR="004E31AD">
        <w:rPr>
          <w:rFonts w:cs="Calibri-Bold"/>
          <w:bCs/>
          <w:lang w:val="it-IT"/>
        </w:rPr>
        <w:t>. L</w:t>
      </w:r>
      <w:r w:rsidR="00591118">
        <w:rPr>
          <w:rFonts w:cs="Calibri-Bold"/>
          <w:bCs/>
          <w:lang w:val="it-IT"/>
        </w:rPr>
        <w:t xml:space="preserve">’Azienda </w:t>
      </w:r>
      <w:r w:rsidR="004E31AD">
        <w:rPr>
          <w:rFonts w:cs="Calibri-Bold"/>
          <w:bCs/>
          <w:lang w:val="it-IT"/>
        </w:rPr>
        <w:t xml:space="preserve">vi </w:t>
      </w:r>
      <w:r w:rsidR="00591118">
        <w:rPr>
          <w:rFonts w:cs="Calibri-Bold"/>
          <w:bCs/>
          <w:lang w:val="it-IT"/>
        </w:rPr>
        <w:t xml:space="preserve">ha contribuito, oltre </w:t>
      </w:r>
      <w:r w:rsidR="004E31AD">
        <w:rPr>
          <w:rFonts w:cs="Calibri-Bold"/>
          <w:bCs/>
          <w:lang w:val="it-IT"/>
        </w:rPr>
        <w:t xml:space="preserve">che con </w:t>
      </w:r>
      <w:r w:rsidR="00591118">
        <w:rPr>
          <w:rFonts w:cs="Calibri-Bold"/>
          <w:bCs/>
          <w:lang w:val="it-IT"/>
        </w:rPr>
        <w:t xml:space="preserve">la realizzazione del nuovo punto vendita, anche con </w:t>
      </w:r>
      <w:r w:rsidRPr="002D738E">
        <w:rPr>
          <w:rFonts w:cs="Calibri-Bold"/>
          <w:bCs/>
          <w:lang w:val="it-IT"/>
        </w:rPr>
        <w:t xml:space="preserve">alcune </w:t>
      </w:r>
      <w:r w:rsidRPr="005D6E17">
        <w:rPr>
          <w:rFonts w:cs="Calibri-Bold"/>
          <w:b/>
          <w:lang w:val="it-IT"/>
        </w:rPr>
        <w:t>importanti opere di urbanizzazione</w:t>
      </w:r>
      <w:r w:rsidRPr="002D738E">
        <w:rPr>
          <w:rFonts w:cs="Calibri-Bold"/>
          <w:bCs/>
          <w:lang w:val="it-IT"/>
        </w:rPr>
        <w:t xml:space="preserve"> come </w:t>
      </w:r>
      <w:r w:rsidR="00B40CFC" w:rsidRPr="002D738E">
        <w:rPr>
          <w:rFonts w:cs="Calibri-Bold"/>
          <w:bCs/>
          <w:lang w:val="it-IT"/>
        </w:rPr>
        <w:t xml:space="preserve">il </w:t>
      </w:r>
      <w:r w:rsidR="00B40CFC" w:rsidRPr="005D6E17">
        <w:rPr>
          <w:rFonts w:cs="Calibri-Bold"/>
          <w:b/>
          <w:lang w:val="it-IT"/>
        </w:rPr>
        <w:t>miglioramento della viabilità su via Lancia</w:t>
      </w:r>
      <w:r w:rsidR="00B40CFC" w:rsidRPr="002D738E">
        <w:rPr>
          <w:rFonts w:cs="Calibri-Bold"/>
          <w:bCs/>
          <w:lang w:val="it-IT"/>
        </w:rPr>
        <w:t xml:space="preserve"> attraverso la costruzione di </w:t>
      </w:r>
      <w:r w:rsidR="00B40CFC" w:rsidRPr="005D6E17">
        <w:rPr>
          <w:rFonts w:cs="Calibri-Bold"/>
          <w:b/>
          <w:lang w:val="it-IT"/>
        </w:rPr>
        <w:t>piste ciclabili</w:t>
      </w:r>
      <w:r w:rsidR="00B40CFC" w:rsidRPr="002D738E">
        <w:rPr>
          <w:rFonts w:cs="Calibri-Bold"/>
          <w:bCs/>
          <w:lang w:val="it-IT"/>
        </w:rPr>
        <w:t xml:space="preserve">, il rifacimento dei </w:t>
      </w:r>
      <w:r w:rsidR="00B40CFC" w:rsidRPr="005D6E17">
        <w:rPr>
          <w:rFonts w:cs="Calibri-Bold"/>
          <w:b/>
          <w:lang w:val="it-IT"/>
        </w:rPr>
        <w:t>marciapiedi</w:t>
      </w:r>
      <w:r w:rsidR="00B40CFC" w:rsidRPr="002D738E">
        <w:rPr>
          <w:rFonts w:cs="Calibri-Bold"/>
          <w:bCs/>
          <w:lang w:val="it-IT"/>
        </w:rPr>
        <w:t xml:space="preserve"> e l’inserimento di una </w:t>
      </w:r>
      <w:r w:rsidR="00B40CFC" w:rsidRPr="005D6E17">
        <w:rPr>
          <w:rFonts w:cs="Calibri-Bold"/>
          <w:b/>
          <w:lang w:val="it-IT"/>
        </w:rPr>
        <w:t>nuova rotonda</w:t>
      </w:r>
      <w:r w:rsidR="00B40CFC" w:rsidRPr="002D738E">
        <w:rPr>
          <w:rFonts w:cs="Calibri-Bold"/>
          <w:bCs/>
          <w:lang w:val="it-IT"/>
        </w:rPr>
        <w:t xml:space="preserve"> all'incrocio con Via Caraglio. </w:t>
      </w:r>
      <w:r w:rsidR="002D738E" w:rsidRPr="002D738E">
        <w:rPr>
          <w:rFonts w:cs="Calibri-Bold"/>
          <w:bCs/>
          <w:lang w:val="it-IT"/>
        </w:rPr>
        <w:t>Per</w:t>
      </w:r>
      <w:r w:rsidR="00B40CFC" w:rsidRPr="002D738E">
        <w:rPr>
          <w:rFonts w:cs="Calibri-Bold"/>
          <w:bCs/>
          <w:lang w:val="it-IT"/>
        </w:rPr>
        <w:t xml:space="preserve"> quest’ultima, la Catena ha </w:t>
      </w:r>
      <w:r w:rsidR="002D738E" w:rsidRPr="002D738E">
        <w:rPr>
          <w:rFonts w:cs="Calibri-Bold"/>
          <w:bCs/>
          <w:lang w:val="it-IT"/>
        </w:rPr>
        <w:t xml:space="preserve">inoltre </w:t>
      </w:r>
      <w:r w:rsidR="00B40CFC" w:rsidRPr="002D738E">
        <w:rPr>
          <w:rFonts w:cs="Calibri-Bold"/>
          <w:bCs/>
          <w:lang w:val="it-IT"/>
        </w:rPr>
        <w:t xml:space="preserve">eseguito </w:t>
      </w:r>
      <w:r w:rsidR="00B55670" w:rsidRPr="002D738E">
        <w:rPr>
          <w:rFonts w:cs="Calibri-Bold"/>
          <w:bCs/>
          <w:lang w:val="it-IT"/>
        </w:rPr>
        <w:t>la riqualificazione</w:t>
      </w:r>
      <w:r w:rsidR="00B40CFC" w:rsidRPr="002D738E">
        <w:rPr>
          <w:rFonts w:cs="Calibri-Bold"/>
          <w:bCs/>
          <w:lang w:val="it-IT"/>
        </w:rPr>
        <w:t xml:space="preserve"> di </w:t>
      </w:r>
      <w:r w:rsidR="00B40CFC" w:rsidRPr="005D6E17">
        <w:rPr>
          <w:rFonts w:cs="Calibri-Bold"/>
          <w:b/>
          <w:lang w:val="it-IT"/>
        </w:rPr>
        <w:t>percorsi pedonali</w:t>
      </w:r>
      <w:r w:rsidR="00B40CFC" w:rsidRPr="002D738E">
        <w:rPr>
          <w:rFonts w:cs="Calibri-Bold"/>
          <w:bCs/>
          <w:lang w:val="it-IT"/>
        </w:rPr>
        <w:t xml:space="preserve">, con l’aggiunta di </w:t>
      </w:r>
      <w:r w:rsidR="00B40CFC" w:rsidRPr="005D6E17">
        <w:rPr>
          <w:rFonts w:cs="Calibri-Bold"/>
          <w:b/>
          <w:lang w:val="it-IT"/>
        </w:rPr>
        <w:t>aiuole verdi</w:t>
      </w:r>
      <w:r w:rsidR="00B40CFC" w:rsidRPr="002D738E">
        <w:rPr>
          <w:rFonts w:cs="Calibri-Bold"/>
          <w:bCs/>
          <w:lang w:val="it-IT"/>
        </w:rPr>
        <w:t xml:space="preserve">, la creazione di </w:t>
      </w:r>
      <w:r w:rsidR="00B40CFC" w:rsidRPr="005D6E17">
        <w:rPr>
          <w:rFonts w:cs="Calibri-Bold"/>
          <w:b/>
          <w:lang w:val="it-IT"/>
        </w:rPr>
        <w:t>parcheggi su strada</w:t>
      </w:r>
      <w:r w:rsidR="00B40CFC" w:rsidRPr="002D738E">
        <w:rPr>
          <w:rFonts w:cs="Calibri-Bold"/>
          <w:bCs/>
          <w:lang w:val="it-IT"/>
        </w:rPr>
        <w:t xml:space="preserve"> e ha attuato il </w:t>
      </w:r>
      <w:r w:rsidR="00B40CFC" w:rsidRPr="005D6E17">
        <w:rPr>
          <w:rFonts w:cs="Calibri-Bold"/>
          <w:b/>
          <w:lang w:val="it-IT"/>
        </w:rPr>
        <w:t>miglioramento della pavimentazione dell'asse viari</w:t>
      </w:r>
      <w:r w:rsidR="002D738E" w:rsidRPr="005D6E17">
        <w:rPr>
          <w:rFonts w:cs="Calibri-Bold"/>
          <w:b/>
          <w:lang w:val="it-IT"/>
        </w:rPr>
        <w:t>o</w:t>
      </w:r>
      <w:r w:rsidR="002D738E" w:rsidRPr="002D738E">
        <w:rPr>
          <w:rFonts w:cs="Calibri-Bold"/>
          <w:bCs/>
          <w:lang w:val="it-IT"/>
        </w:rPr>
        <w:t>. Insieme al</w:t>
      </w:r>
      <w:r w:rsidR="00B55670" w:rsidRPr="002D738E">
        <w:rPr>
          <w:rFonts w:cs="Calibri-Bold"/>
          <w:bCs/>
          <w:lang w:val="it-IT"/>
        </w:rPr>
        <w:t xml:space="preserve">la </w:t>
      </w:r>
      <w:r w:rsidR="00B55670" w:rsidRPr="005D6E17">
        <w:rPr>
          <w:rFonts w:cs="Calibri-Bold"/>
          <w:b/>
          <w:lang w:val="it-IT"/>
        </w:rPr>
        <w:t xml:space="preserve">ristrutturazione del parcheggio pubblico </w:t>
      </w:r>
      <w:proofErr w:type="spellStart"/>
      <w:r w:rsidR="00B55670" w:rsidRPr="005D6E17">
        <w:rPr>
          <w:rFonts w:cs="Calibri-Bold"/>
          <w:b/>
          <w:lang w:val="it-IT"/>
        </w:rPr>
        <w:t>Chiribiri</w:t>
      </w:r>
      <w:proofErr w:type="spellEnd"/>
      <w:r w:rsidR="002D738E" w:rsidRPr="002D738E">
        <w:rPr>
          <w:rFonts w:cs="Calibri-Bold"/>
          <w:bCs/>
          <w:lang w:val="it-IT"/>
        </w:rPr>
        <w:t>, i</w:t>
      </w:r>
      <w:r w:rsidR="00B40CFC" w:rsidRPr="002D738E">
        <w:rPr>
          <w:rFonts w:cs="Calibri-Bold"/>
          <w:bCs/>
          <w:lang w:val="it-IT"/>
        </w:rPr>
        <w:t xml:space="preserve">nfine, </w:t>
      </w:r>
      <w:r w:rsidR="002D738E" w:rsidRPr="002D738E">
        <w:rPr>
          <w:rFonts w:cs="Calibri-Bold"/>
          <w:bCs/>
          <w:lang w:val="it-IT"/>
        </w:rPr>
        <w:t xml:space="preserve">Lidl </w:t>
      </w:r>
      <w:r w:rsidR="00B40CFC" w:rsidRPr="005D6E17">
        <w:rPr>
          <w:rFonts w:cs="Calibri-Bold"/>
          <w:bCs/>
          <w:lang w:val="it-IT"/>
        </w:rPr>
        <w:t>ha</w:t>
      </w:r>
      <w:r w:rsidR="002D738E" w:rsidRPr="005D6E17">
        <w:rPr>
          <w:rFonts w:cs="Calibri-Bold"/>
          <w:bCs/>
          <w:lang w:val="it-IT"/>
        </w:rPr>
        <w:t xml:space="preserve"> anche</w:t>
      </w:r>
      <w:r w:rsidR="00B40CFC" w:rsidRPr="005D6E17">
        <w:rPr>
          <w:rFonts w:cs="Calibri-Bold"/>
          <w:bCs/>
          <w:lang w:val="it-IT"/>
        </w:rPr>
        <w:t xml:space="preserve"> preso parte</w:t>
      </w:r>
      <w:r w:rsidR="00B40CFC" w:rsidRPr="002D738E">
        <w:rPr>
          <w:rFonts w:cs="Calibri-Bold"/>
          <w:b/>
          <w:lang w:val="it-IT"/>
        </w:rPr>
        <w:t xml:space="preserve"> </w:t>
      </w:r>
      <w:r w:rsidR="00B55670" w:rsidRPr="002D738E">
        <w:rPr>
          <w:rFonts w:cs="Calibri-Bold"/>
          <w:b/>
          <w:lang w:val="it-IT"/>
        </w:rPr>
        <w:t>alla realizzazione di una piazza pedonale</w:t>
      </w:r>
      <w:r w:rsidRPr="002D738E">
        <w:rPr>
          <w:rFonts w:cs="Calibri-Bold"/>
          <w:bCs/>
          <w:lang w:val="it-IT"/>
        </w:rPr>
        <w:t xml:space="preserve"> </w:t>
      </w:r>
      <w:r w:rsidRPr="005D6E17">
        <w:rPr>
          <w:rFonts w:cs="Calibri-Bold"/>
          <w:b/>
          <w:lang w:val="it-IT"/>
        </w:rPr>
        <w:t xml:space="preserve">di </w:t>
      </w:r>
      <w:r w:rsidR="00B55670" w:rsidRPr="005D6E17">
        <w:rPr>
          <w:rFonts w:cs="Calibri-Bold"/>
          <w:b/>
          <w:lang w:val="it-IT"/>
        </w:rPr>
        <w:t>circa</w:t>
      </w:r>
      <w:r w:rsidRPr="005D6E17">
        <w:rPr>
          <w:rFonts w:cs="Calibri-Bold"/>
          <w:b/>
          <w:lang w:val="it-IT"/>
        </w:rPr>
        <w:t xml:space="preserve"> 4.000 mq</w:t>
      </w:r>
      <w:r w:rsidR="00C25636">
        <w:rPr>
          <w:rFonts w:cs="Calibri-Bold"/>
          <w:bCs/>
          <w:lang w:val="it-IT"/>
        </w:rPr>
        <w:t>,</w:t>
      </w:r>
      <w:r w:rsidR="00B55670" w:rsidRPr="002D738E">
        <w:rPr>
          <w:rFonts w:cs="Calibri-Bold"/>
          <w:bCs/>
          <w:lang w:val="it-IT"/>
        </w:rPr>
        <w:t xml:space="preserve"> adiacente al punto vendita</w:t>
      </w:r>
      <w:r w:rsidR="00C25636">
        <w:rPr>
          <w:rFonts w:cs="Calibri-Bold"/>
          <w:bCs/>
          <w:lang w:val="it-IT"/>
        </w:rPr>
        <w:t>,</w:t>
      </w:r>
      <w:r w:rsidR="00B40CFC" w:rsidRPr="002D738E">
        <w:rPr>
          <w:rFonts w:cs="Calibri-Bold"/>
          <w:bCs/>
          <w:lang w:val="it-IT"/>
        </w:rPr>
        <w:t xml:space="preserve"> </w:t>
      </w:r>
      <w:r w:rsidR="002D738E" w:rsidRPr="002D738E">
        <w:rPr>
          <w:rFonts w:cs="Calibri-Bold"/>
          <w:bCs/>
          <w:lang w:val="it-IT"/>
        </w:rPr>
        <w:t>composta da</w:t>
      </w:r>
      <w:r w:rsidR="00B55670" w:rsidRPr="002D738E">
        <w:rPr>
          <w:rFonts w:cs="Calibri-Bold"/>
          <w:bCs/>
          <w:lang w:val="it-IT"/>
        </w:rPr>
        <w:t xml:space="preserve"> un </w:t>
      </w:r>
      <w:r w:rsidR="00B55670" w:rsidRPr="005D6E17">
        <w:rPr>
          <w:rFonts w:cs="Calibri-Bold"/>
          <w:b/>
          <w:lang w:val="it-IT"/>
        </w:rPr>
        <w:t>parco giochi</w:t>
      </w:r>
      <w:r w:rsidR="00B55670" w:rsidRPr="002D738E">
        <w:rPr>
          <w:rFonts w:cs="Calibri-Bold"/>
          <w:bCs/>
          <w:lang w:val="it-IT"/>
        </w:rPr>
        <w:t xml:space="preserve">, </w:t>
      </w:r>
      <w:r w:rsidR="00B55670" w:rsidRPr="005D6E17">
        <w:rPr>
          <w:rFonts w:cs="Calibri-Bold"/>
          <w:b/>
          <w:lang w:val="it-IT"/>
        </w:rPr>
        <w:t>un’area fitness</w:t>
      </w:r>
      <w:r w:rsidR="00B55670" w:rsidRPr="002D738E">
        <w:rPr>
          <w:rFonts w:cs="Calibri-Bold"/>
          <w:bCs/>
          <w:lang w:val="it-IT"/>
        </w:rPr>
        <w:t xml:space="preserve"> e una </w:t>
      </w:r>
      <w:r w:rsidR="00B55670" w:rsidRPr="005D6E17">
        <w:rPr>
          <w:rFonts w:cs="Calibri-Bold"/>
          <w:b/>
          <w:lang w:val="it-IT"/>
        </w:rPr>
        <w:t>fontana</w:t>
      </w:r>
      <w:r w:rsidR="00B55670" w:rsidRPr="002D738E">
        <w:rPr>
          <w:rFonts w:cs="Calibri-Bold"/>
          <w:bCs/>
          <w:lang w:val="it-IT"/>
        </w:rPr>
        <w:t xml:space="preserve"> </w:t>
      </w:r>
      <w:r w:rsidR="002D738E" w:rsidRPr="002D738E">
        <w:rPr>
          <w:rFonts w:cs="Calibri-Bold"/>
          <w:bCs/>
          <w:lang w:val="it-IT"/>
        </w:rPr>
        <w:t xml:space="preserve">posta </w:t>
      </w:r>
      <w:r w:rsidR="00B55670" w:rsidRPr="002D738E">
        <w:rPr>
          <w:rFonts w:cs="Calibri-Bold"/>
          <w:bCs/>
          <w:lang w:val="it-IT"/>
        </w:rPr>
        <w:t xml:space="preserve">all’ingresso </w:t>
      </w:r>
      <w:r w:rsidR="002D738E" w:rsidRPr="002D738E">
        <w:rPr>
          <w:rFonts w:cs="Calibri-Bold"/>
          <w:bCs/>
          <w:lang w:val="it-IT"/>
        </w:rPr>
        <w:t xml:space="preserve">con accesso </w:t>
      </w:r>
      <w:r w:rsidR="00B55670" w:rsidRPr="002D738E">
        <w:rPr>
          <w:rFonts w:cs="Calibri-Bold"/>
          <w:bCs/>
          <w:lang w:val="it-IT"/>
        </w:rPr>
        <w:t>d</w:t>
      </w:r>
      <w:r w:rsidR="002D738E" w:rsidRPr="002D738E">
        <w:rPr>
          <w:rFonts w:cs="Calibri-Bold"/>
          <w:bCs/>
          <w:lang w:val="it-IT"/>
        </w:rPr>
        <w:t>a</w:t>
      </w:r>
      <w:r w:rsidR="00B55670" w:rsidRPr="002D738E">
        <w:rPr>
          <w:rFonts w:cs="Calibri-Bold"/>
          <w:bCs/>
          <w:lang w:val="it-IT"/>
        </w:rPr>
        <w:t xml:space="preserve"> via Lancia. </w:t>
      </w:r>
    </w:p>
    <w:p w14:paraId="7735A22F" w14:textId="77777777" w:rsidR="00B55670" w:rsidRDefault="00B55670" w:rsidP="00D00F24">
      <w:pPr>
        <w:spacing w:after="0" w:line="288" w:lineRule="auto"/>
        <w:jc w:val="both"/>
        <w:rPr>
          <w:rFonts w:cs="Calibri-Bold"/>
          <w:bCs/>
          <w:lang w:val="it-IT"/>
        </w:rPr>
      </w:pPr>
    </w:p>
    <w:p w14:paraId="1ED38BD4" w14:textId="2E1D4E2F" w:rsidR="00FE4F47" w:rsidRPr="00FE4F47" w:rsidRDefault="00B40CFC" w:rsidP="00FE4F47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</w:t>
      </w:r>
      <w:r w:rsidR="00FE4F47"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na spesa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smart e </w:t>
      </w:r>
      <w:r w:rsidR="00FE4F47" w:rsidRPr="00FE4F47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di qualità</w:t>
      </w:r>
    </w:p>
    <w:p w14:paraId="769D6D33" w14:textId="7584E8F3" w:rsidR="006B47ED" w:rsidRDefault="00FE4F47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>I</w:t>
      </w:r>
      <w:r w:rsidR="00867E7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 nuovo store di </w:t>
      </w:r>
      <w:r w:rsidR="00B40CF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Torino dà il benvenuto ai suoi clienti con il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reparto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frutta e verdura</w:t>
      </w:r>
      <w:r w:rsidR="00B40CFC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Segue 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l’angolo </w:t>
      </w:r>
      <w:r w:rsidRPr="00FE4F47">
        <w:rPr>
          <w:rFonts w:eastAsiaTheme="minorHAnsi" w:cs="Calibri-Bold"/>
          <w:b/>
          <w:color w:val="auto"/>
          <w:sz w:val="22"/>
          <w:szCs w:val="22"/>
          <w:lang w:eastAsia="en-US"/>
        </w:rPr>
        <w:t>panetteria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B40CFC">
        <w:rPr>
          <w:rFonts w:eastAsiaTheme="minorHAnsi" w:cs="Calibri-Bold"/>
          <w:bCs/>
          <w:color w:val="auto"/>
          <w:sz w:val="22"/>
          <w:szCs w:val="22"/>
          <w:lang w:eastAsia="en-US"/>
        </w:rPr>
        <w:t>con il suo inconfondibile profumo di</w:t>
      </w:r>
      <w:r w:rsidRPr="00FE4F4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pane caldo e prodotti da forno dolci e salati. </w:t>
      </w:r>
      <w:r w:rsidR="005345DF" w:rsidRP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Non mancano, poi, </w:t>
      </w:r>
      <w:r w:rsidR="005345DF" w:rsidRPr="005D6E1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prodotti biologici, </w:t>
      </w:r>
      <w:proofErr w:type="spellStart"/>
      <w:r w:rsidR="005345DF" w:rsidRPr="005D6E17">
        <w:rPr>
          <w:rFonts w:eastAsiaTheme="minorHAnsi" w:cs="Calibri-Bold"/>
          <w:b/>
          <w:color w:val="auto"/>
          <w:sz w:val="22"/>
          <w:szCs w:val="22"/>
          <w:lang w:eastAsia="en-US"/>
        </w:rPr>
        <w:t>freefrom</w:t>
      </w:r>
      <w:proofErr w:type="spellEnd"/>
      <w:r w:rsidR="005345DF" w:rsidRPr="005D6E17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 e vegan</w:t>
      </w:r>
      <w:r w:rsidR="005345DF" w:rsidRP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venire incontro alle varie esigenze nutrizionali.  Infine, ampliano la proposta il reparto dedicato alla </w:t>
      </w:r>
      <w:r w:rsidR="005345DF" w:rsidRPr="005D6E17">
        <w:rPr>
          <w:rFonts w:eastAsiaTheme="minorHAnsi" w:cs="Calibri-Bold"/>
          <w:b/>
          <w:color w:val="auto"/>
          <w:sz w:val="22"/>
          <w:szCs w:val="22"/>
          <w:lang w:eastAsia="en-US"/>
        </w:rPr>
        <w:t>cura della casa e della persona</w:t>
      </w:r>
      <w:r w:rsidR="005345DF" w:rsidRP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in cui trovare le ultime novità, e quello rivolto agli </w:t>
      </w:r>
      <w:r w:rsidR="005345DF" w:rsidRPr="005D6E17">
        <w:rPr>
          <w:rFonts w:eastAsiaTheme="minorHAnsi" w:cs="Calibri-Bold"/>
          <w:b/>
          <w:color w:val="auto"/>
          <w:sz w:val="22"/>
          <w:szCs w:val="22"/>
          <w:lang w:eastAsia="en-US"/>
        </w:rPr>
        <w:t>amici a quattro zampe</w:t>
      </w:r>
      <w:r w:rsidR="005345DF" w:rsidRP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sempre ad un </w:t>
      </w:r>
      <w:r w:rsidR="005345DF" w:rsidRPr="005D6E17">
        <w:rPr>
          <w:rFonts w:eastAsiaTheme="minorHAnsi" w:cs="Calibri-Bold"/>
          <w:b/>
          <w:color w:val="auto"/>
          <w:sz w:val="22"/>
          <w:szCs w:val="22"/>
          <w:lang w:eastAsia="en-US"/>
        </w:rPr>
        <w:t>ottimo rapporto qualità - prezzo</w:t>
      </w:r>
      <w:r w:rsidR="005345DF" w:rsidRP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5345DF" w:rsidRP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</w:t>
      </w:r>
      <w:r w:rsidR="005345DF" w:rsidRPr="005D6E17">
        <w:rPr>
          <w:rFonts w:eastAsiaTheme="minorHAnsi" w:cs="Calibri-Bold"/>
          <w:b/>
          <w:color w:val="auto"/>
          <w:sz w:val="22"/>
          <w:szCs w:val="22"/>
          <w:lang w:eastAsia="en-US"/>
        </w:rPr>
        <w:t>one stop shop</w:t>
      </w:r>
      <w:r w:rsid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che v</w:t>
      </w:r>
      <w:r w:rsidR="005345DF" w:rsidRP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uole offrire ai clienti l’opportunità di godere di un </w:t>
      </w:r>
      <w:r w:rsidR="005345DF" w:rsidRPr="005D6E17">
        <w:rPr>
          <w:rFonts w:eastAsiaTheme="minorHAnsi" w:cs="Calibri-Bold"/>
          <w:b/>
          <w:color w:val="auto"/>
          <w:sz w:val="22"/>
          <w:szCs w:val="22"/>
          <w:lang w:eastAsia="en-US"/>
        </w:rPr>
        <w:t>ampio assortimento</w:t>
      </w:r>
      <w:r w:rsidR="005345DF" w:rsidRPr="005345D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e di </w:t>
      </w:r>
      <w:r w:rsidR="005345DF" w:rsidRPr="005D6E17">
        <w:rPr>
          <w:rFonts w:eastAsiaTheme="minorHAnsi" w:cs="Calibri-Bold"/>
          <w:b/>
          <w:color w:val="auto"/>
          <w:sz w:val="22"/>
          <w:szCs w:val="22"/>
          <w:lang w:eastAsia="en-US"/>
        </w:rPr>
        <w:t>un’esperienza di acquisto semplice e smart</w:t>
      </w:r>
      <w:r w:rsidR="00C25636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</w:p>
    <w:p w14:paraId="12CEC3F8" w14:textId="1BF3C626" w:rsidR="00FE4F47" w:rsidRDefault="00FE4F47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72054F75" w14:textId="77777777" w:rsidR="00867E7D" w:rsidRDefault="00867E7D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3634718A" w:rsidR="00D33D37" w:rsidRDefault="002C51F7" w:rsidP="00650415">
      <w:pPr>
        <w:spacing w:after="0" w:line="288" w:lineRule="auto"/>
        <w:jc w:val="both"/>
        <w:rPr>
          <w:sz w:val="18"/>
          <w:szCs w:val="18"/>
          <w:lang w:val="it-IT"/>
        </w:rPr>
      </w:pPr>
      <w:r w:rsidRPr="0029168B">
        <w:rPr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29168B">
        <w:rPr>
          <w:sz w:val="18"/>
          <w:szCs w:val="18"/>
          <w:lang w:val="it-IT"/>
        </w:rPr>
        <w:t xml:space="preserve">di </w:t>
      </w:r>
      <w:r w:rsidR="00100FCF">
        <w:rPr>
          <w:sz w:val="18"/>
          <w:szCs w:val="18"/>
          <w:lang w:val="it-IT"/>
        </w:rPr>
        <w:t>oltre</w:t>
      </w:r>
      <w:r w:rsidR="00E949FE">
        <w:rPr>
          <w:sz w:val="18"/>
          <w:szCs w:val="18"/>
          <w:lang w:val="it-IT"/>
        </w:rPr>
        <w:t xml:space="preserve"> </w:t>
      </w:r>
      <w:r w:rsidR="00203203">
        <w:rPr>
          <w:sz w:val="18"/>
          <w:szCs w:val="18"/>
          <w:lang w:val="it-IT"/>
        </w:rPr>
        <w:t>700</w:t>
      </w:r>
      <w:r w:rsidRPr="0029168B">
        <w:rPr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>
        <w:rPr>
          <w:sz w:val="18"/>
          <w:szCs w:val="18"/>
          <w:lang w:val="it-IT"/>
        </w:rPr>
        <w:t xml:space="preserve">più di </w:t>
      </w:r>
      <w:r w:rsidR="00B109C2">
        <w:rPr>
          <w:sz w:val="18"/>
          <w:szCs w:val="18"/>
          <w:lang w:val="it-IT"/>
        </w:rPr>
        <w:t>2</w:t>
      </w:r>
      <w:r w:rsidR="000E3F28">
        <w:rPr>
          <w:sz w:val="18"/>
          <w:szCs w:val="18"/>
          <w:lang w:val="it-IT"/>
        </w:rPr>
        <w:t>1</w:t>
      </w:r>
      <w:r w:rsidRPr="0029168B">
        <w:rPr>
          <w:sz w:val="18"/>
          <w:szCs w:val="18"/>
          <w:lang w:val="it-IT"/>
        </w:rPr>
        <w:t>.</w:t>
      </w:r>
      <w:r w:rsidR="00B109C2">
        <w:rPr>
          <w:sz w:val="18"/>
          <w:szCs w:val="18"/>
          <w:lang w:val="it-IT"/>
        </w:rPr>
        <w:t>0</w:t>
      </w:r>
      <w:r w:rsidRPr="0029168B">
        <w:rPr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78E832" w14:textId="77777777" w:rsidR="008642D7" w:rsidRDefault="008642D7" w:rsidP="003D467C">
      <w:pPr>
        <w:spacing w:after="0" w:line="240" w:lineRule="auto"/>
      </w:pPr>
      <w:r>
        <w:separator/>
      </w:r>
    </w:p>
  </w:endnote>
  <w:endnote w:type="continuationSeparator" w:id="0">
    <w:p w14:paraId="19A37B79" w14:textId="77777777" w:rsidR="008642D7" w:rsidRDefault="008642D7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AB0D5D" w14:textId="77777777" w:rsidR="008642D7" w:rsidRDefault="008642D7" w:rsidP="003D467C">
      <w:pPr>
        <w:spacing w:after="0" w:line="240" w:lineRule="auto"/>
      </w:pPr>
      <w:r>
        <w:separator/>
      </w:r>
    </w:p>
  </w:footnote>
  <w:footnote w:type="continuationSeparator" w:id="0">
    <w:p w14:paraId="05EBFFCD" w14:textId="77777777" w:rsidR="008642D7" w:rsidRDefault="008642D7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5B614164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8642EE"/>
    <w:multiLevelType w:val="hybridMultilevel"/>
    <w:tmpl w:val="63065B6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4"/>
  </w:num>
  <w:num w:numId="2">
    <w:abstractNumId w:val="4"/>
  </w:num>
  <w:num w:numId="3">
    <w:abstractNumId w:val="4"/>
  </w:num>
  <w:num w:numId="4">
    <w:abstractNumId w:val="4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2"/>
  </w:num>
  <w:num w:numId="11">
    <w:abstractNumId w:val="0"/>
  </w:num>
  <w:num w:numId="12">
    <w:abstractNumId w:val="3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5FEC"/>
    <w:rsid w:val="000660D4"/>
    <w:rsid w:val="00070F48"/>
    <w:rsid w:val="0007383C"/>
    <w:rsid w:val="0007713C"/>
    <w:rsid w:val="000804E6"/>
    <w:rsid w:val="00081A27"/>
    <w:rsid w:val="000914C7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67C9"/>
    <w:rsid w:val="00117293"/>
    <w:rsid w:val="001224FF"/>
    <w:rsid w:val="00123D28"/>
    <w:rsid w:val="001241B5"/>
    <w:rsid w:val="00134ACB"/>
    <w:rsid w:val="001437A4"/>
    <w:rsid w:val="0015267E"/>
    <w:rsid w:val="00153BC8"/>
    <w:rsid w:val="001570DE"/>
    <w:rsid w:val="00157800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7DD4"/>
    <w:rsid w:val="00195F25"/>
    <w:rsid w:val="00197730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44A1"/>
    <w:rsid w:val="00225051"/>
    <w:rsid w:val="0022632C"/>
    <w:rsid w:val="002272E2"/>
    <w:rsid w:val="002309C7"/>
    <w:rsid w:val="00230FF3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D6A6B"/>
    <w:rsid w:val="002D738E"/>
    <w:rsid w:val="002D779A"/>
    <w:rsid w:val="002E41B3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60B1"/>
    <w:rsid w:val="00316529"/>
    <w:rsid w:val="003230DC"/>
    <w:rsid w:val="00323973"/>
    <w:rsid w:val="00335CFE"/>
    <w:rsid w:val="00340E34"/>
    <w:rsid w:val="00344CD2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7336"/>
    <w:rsid w:val="0039614D"/>
    <w:rsid w:val="003A238A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A70"/>
    <w:rsid w:val="003E3B9B"/>
    <w:rsid w:val="003F0553"/>
    <w:rsid w:val="003F0C0E"/>
    <w:rsid w:val="003F12D7"/>
    <w:rsid w:val="003F182B"/>
    <w:rsid w:val="003F37FB"/>
    <w:rsid w:val="003F6BEC"/>
    <w:rsid w:val="00404026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9BF"/>
    <w:rsid w:val="00440BF1"/>
    <w:rsid w:val="00444D83"/>
    <w:rsid w:val="004469AA"/>
    <w:rsid w:val="00447819"/>
    <w:rsid w:val="00456815"/>
    <w:rsid w:val="004569A0"/>
    <w:rsid w:val="00461B61"/>
    <w:rsid w:val="00462465"/>
    <w:rsid w:val="00463D1A"/>
    <w:rsid w:val="00464F63"/>
    <w:rsid w:val="00467D2A"/>
    <w:rsid w:val="00471DDB"/>
    <w:rsid w:val="00476DCC"/>
    <w:rsid w:val="004772D0"/>
    <w:rsid w:val="0048053E"/>
    <w:rsid w:val="0048056B"/>
    <w:rsid w:val="004818B6"/>
    <w:rsid w:val="00481A24"/>
    <w:rsid w:val="00487BD5"/>
    <w:rsid w:val="004934BF"/>
    <w:rsid w:val="004949ED"/>
    <w:rsid w:val="0049612D"/>
    <w:rsid w:val="004A16CF"/>
    <w:rsid w:val="004B0B31"/>
    <w:rsid w:val="004B65D1"/>
    <w:rsid w:val="004B6791"/>
    <w:rsid w:val="004C1E50"/>
    <w:rsid w:val="004C24CA"/>
    <w:rsid w:val="004C7A22"/>
    <w:rsid w:val="004C7FE3"/>
    <w:rsid w:val="004D25DB"/>
    <w:rsid w:val="004D30BC"/>
    <w:rsid w:val="004D4E8D"/>
    <w:rsid w:val="004D7B94"/>
    <w:rsid w:val="004E16C7"/>
    <w:rsid w:val="004E31AD"/>
    <w:rsid w:val="004E4709"/>
    <w:rsid w:val="004E623F"/>
    <w:rsid w:val="004E78E7"/>
    <w:rsid w:val="004E7F76"/>
    <w:rsid w:val="004F1BFB"/>
    <w:rsid w:val="004F5FB7"/>
    <w:rsid w:val="0050059B"/>
    <w:rsid w:val="00501777"/>
    <w:rsid w:val="00501859"/>
    <w:rsid w:val="005025CE"/>
    <w:rsid w:val="005278FE"/>
    <w:rsid w:val="00531A26"/>
    <w:rsid w:val="00532BD6"/>
    <w:rsid w:val="00532F5F"/>
    <w:rsid w:val="00533200"/>
    <w:rsid w:val="005345DF"/>
    <w:rsid w:val="005367C7"/>
    <w:rsid w:val="00536EE6"/>
    <w:rsid w:val="005402F6"/>
    <w:rsid w:val="00540F70"/>
    <w:rsid w:val="0054482F"/>
    <w:rsid w:val="00554AB8"/>
    <w:rsid w:val="00554CC1"/>
    <w:rsid w:val="0056010E"/>
    <w:rsid w:val="0056405F"/>
    <w:rsid w:val="00572298"/>
    <w:rsid w:val="005773C2"/>
    <w:rsid w:val="00580070"/>
    <w:rsid w:val="005817EF"/>
    <w:rsid w:val="0058276E"/>
    <w:rsid w:val="0058301F"/>
    <w:rsid w:val="00583546"/>
    <w:rsid w:val="00584AD9"/>
    <w:rsid w:val="00591118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58CD"/>
    <w:rsid w:val="005D6B73"/>
    <w:rsid w:val="005D6E17"/>
    <w:rsid w:val="005E1354"/>
    <w:rsid w:val="005E4374"/>
    <w:rsid w:val="005E73B6"/>
    <w:rsid w:val="005E78E5"/>
    <w:rsid w:val="005F0702"/>
    <w:rsid w:val="005F12DD"/>
    <w:rsid w:val="005F328B"/>
    <w:rsid w:val="005F7BEA"/>
    <w:rsid w:val="00604A70"/>
    <w:rsid w:val="00613262"/>
    <w:rsid w:val="00615C05"/>
    <w:rsid w:val="006168FE"/>
    <w:rsid w:val="0061769F"/>
    <w:rsid w:val="006227DD"/>
    <w:rsid w:val="00622CE6"/>
    <w:rsid w:val="00625867"/>
    <w:rsid w:val="006271C4"/>
    <w:rsid w:val="0062744F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0E21"/>
    <w:rsid w:val="006513C5"/>
    <w:rsid w:val="006540B7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4E5E"/>
    <w:rsid w:val="006858C6"/>
    <w:rsid w:val="006947AB"/>
    <w:rsid w:val="006A438C"/>
    <w:rsid w:val="006A7843"/>
    <w:rsid w:val="006A7E99"/>
    <w:rsid w:val="006B2EA3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53B60"/>
    <w:rsid w:val="00764ECB"/>
    <w:rsid w:val="00766453"/>
    <w:rsid w:val="00767921"/>
    <w:rsid w:val="007704E5"/>
    <w:rsid w:val="00770F6B"/>
    <w:rsid w:val="00771912"/>
    <w:rsid w:val="00772C30"/>
    <w:rsid w:val="00781B35"/>
    <w:rsid w:val="00781E7E"/>
    <w:rsid w:val="0078417F"/>
    <w:rsid w:val="00790C09"/>
    <w:rsid w:val="00791C40"/>
    <w:rsid w:val="00793CFB"/>
    <w:rsid w:val="00796EAF"/>
    <w:rsid w:val="007A193D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5063"/>
    <w:rsid w:val="007E7366"/>
    <w:rsid w:val="007F6D48"/>
    <w:rsid w:val="007F7E1C"/>
    <w:rsid w:val="0080114C"/>
    <w:rsid w:val="00801ECF"/>
    <w:rsid w:val="00802375"/>
    <w:rsid w:val="008040D9"/>
    <w:rsid w:val="00804521"/>
    <w:rsid w:val="00812EAC"/>
    <w:rsid w:val="00821F00"/>
    <w:rsid w:val="008228B4"/>
    <w:rsid w:val="008234CB"/>
    <w:rsid w:val="00824DC0"/>
    <w:rsid w:val="00832CB5"/>
    <w:rsid w:val="00835707"/>
    <w:rsid w:val="00835F47"/>
    <w:rsid w:val="00843AB0"/>
    <w:rsid w:val="0084746E"/>
    <w:rsid w:val="00851B0A"/>
    <w:rsid w:val="00852D17"/>
    <w:rsid w:val="0085652F"/>
    <w:rsid w:val="008642D7"/>
    <w:rsid w:val="00867E7D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4A70"/>
    <w:rsid w:val="00894E87"/>
    <w:rsid w:val="008967B4"/>
    <w:rsid w:val="008A08CA"/>
    <w:rsid w:val="008A1261"/>
    <w:rsid w:val="008A350D"/>
    <w:rsid w:val="008A4EBB"/>
    <w:rsid w:val="008A672B"/>
    <w:rsid w:val="008A7205"/>
    <w:rsid w:val="008B083B"/>
    <w:rsid w:val="008B1DFD"/>
    <w:rsid w:val="008B41E3"/>
    <w:rsid w:val="008C08A0"/>
    <w:rsid w:val="008C28B4"/>
    <w:rsid w:val="008C3BA8"/>
    <w:rsid w:val="008C423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904237"/>
    <w:rsid w:val="00910E16"/>
    <w:rsid w:val="0091228F"/>
    <w:rsid w:val="0091238E"/>
    <w:rsid w:val="00917623"/>
    <w:rsid w:val="00917877"/>
    <w:rsid w:val="00921CB4"/>
    <w:rsid w:val="0093165D"/>
    <w:rsid w:val="00931DF9"/>
    <w:rsid w:val="0093340C"/>
    <w:rsid w:val="00933BC4"/>
    <w:rsid w:val="009368A9"/>
    <w:rsid w:val="00941B6D"/>
    <w:rsid w:val="009430F7"/>
    <w:rsid w:val="009503E1"/>
    <w:rsid w:val="00951104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923C2"/>
    <w:rsid w:val="00996420"/>
    <w:rsid w:val="009977BD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C1EE4"/>
    <w:rsid w:val="009C5BA7"/>
    <w:rsid w:val="009D149B"/>
    <w:rsid w:val="009D3D12"/>
    <w:rsid w:val="009D7413"/>
    <w:rsid w:val="009D7ED5"/>
    <w:rsid w:val="009E1FB1"/>
    <w:rsid w:val="009E374F"/>
    <w:rsid w:val="009E3CA0"/>
    <w:rsid w:val="009E3CFC"/>
    <w:rsid w:val="009E43F4"/>
    <w:rsid w:val="009E507C"/>
    <w:rsid w:val="009E59CA"/>
    <w:rsid w:val="009E7A37"/>
    <w:rsid w:val="009F0BA9"/>
    <w:rsid w:val="009F1864"/>
    <w:rsid w:val="009F4165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664D"/>
    <w:rsid w:val="00A07703"/>
    <w:rsid w:val="00A07B54"/>
    <w:rsid w:val="00A104F0"/>
    <w:rsid w:val="00A10A49"/>
    <w:rsid w:val="00A262E3"/>
    <w:rsid w:val="00A265C7"/>
    <w:rsid w:val="00A35A63"/>
    <w:rsid w:val="00A416A9"/>
    <w:rsid w:val="00A433E2"/>
    <w:rsid w:val="00A44FA0"/>
    <w:rsid w:val="00A45A91"/>
    <w:rsid w:val="00A46B60"/>
    <w:rsid w:val="00A474BA"/>
    <w:rsid w:val="00A52AD6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5B7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BCC"/>
    <w:rsid w:val="00B306AF"/>
    <w:rsid w:val="00B362AB"/>
    <w:rsid w:val="00B36FF9"/>
    <w:rsid w:val="00B402CC"/>
    <w:rsid w:val="00B404F9"/>
    <w:rsid w:val="00B4063B"/>
    <w:rsid w:val="00B40CFC"/>
    <w:rsid w:val="00B4200D"/>
    <w:rsid w:val="00B43913"/>
    <w:rsid w:val="00B44CAD"/>
    <w:rsid w:val="00B452AB"/>
    <w:rsid w:val="00B458F2"/>
    <w:rsid w:val="00B462EF"/>
    <w:rsid w:val="00B55670"/>
    <w:rsid w:val="00B618D9"/>
    <w:rsid w:val="00B618FC"/>
    <w:rsid w:val="00B61A84"/>
    <w:rsid w:val="00B668C1"/>
    <w:rsid w:val="00B70766"/>
    <w:rsid w:val="00B74901"/>
    <w:rsid w:val="00B76889"/>
    <w:rsid w:val="00B800D3"/>
    <w:rsid w:val="00B827D5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5339"/>
    <w:rsid w:val="00C066A8"/>
    <w:rsid w:val="00C118D7"/>
    <w:rsid w:val="00C12D32"/>
    <w:rsid w:val="00C13481"/>
    <w:rsid w:val="00C144E8"/>
    <w:rsid w:val="00C20E9A"/>
    <w:rsid w:val="00C249BC"/>
    <w:rsid w:val="00C25636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C1AF3"/>
    <w:rsid w:val="00CC43B3"/>
    <w:rsid w:val="00CD6B04"/>
    <w:rsid w:val="00CD7684"/>
    <w:rsid w:val="00CE0308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1699"/>
    <w:rsid w:val="00D33D37"/>
    <w:rsid w:val="00D3507B"/>
    <w:rsid w:val="00D35B12"/>
    <w:rsid w:val="00D3741E"/>
    <w:rsid w:val="00D41FB3"/>
    <w:rsid w:val="00D45278"/>
    <w:rsid w:val="00D452DE"/>
    <w:rsid w:val="00D45AAC"/>
    <w:rsid w:val="00D522BD"/>
    <w:rsid w:val="00D53813"/>
    <w:rsid w:val="00D57B2C"/>
    <w:rsid w:val="00D6078F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5BD"/>
    <w:rsid w:val="00D97C26"/>
    <w:rsid w:val="00DA057B"/>
    <w:rsid w:val="00DA2CB7"/>
    <w:rsid w:val="00DB3399"/>
    <w:rsid w:val="00DB5592"/>
    <w:rsid w:val="00DB5DC0"/>
    <w:rsid w:val="00DB766C"/>
    <w:rsid w:val="00DC42AA"/>
    <w:rsid w:val="00DC5659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1346A"/>
    <w:rsid w:val="00E16EFB"/>
    <w:rsid w:val="00E20156"/>
    <w:rsid w:val="00E235A8"/>
    <w:rsid w:val="00E269C9"/>
    <w:rsid w:val="00E300E1"/>
    <w:rsid w:val="00E342E9"/>
    <w:rsid w:val="00E4205F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0B0D"/>
    <w:rsid w:val="00E91353"/>
    <w:rsid w:val="00E92C28"/>
    <w:rsid w:val="00E92C42"/>
    <w:rsid w:val="00E949FE"/>
    <w:rsid w:val="00E96177"/>
    <w:rsid w:val="00EA6353"/>
    <w:rsid w:val="00EB0559"/>
    <w:rsid w:val="00EC0CC2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DDA"/>
    <w:rsid w:val="00F2625C"/>
    <w:rsid w:val="00F34546"/>
    <w:rsid w:val="00F35B09"/>
    <w:rsid w:val="00F400AD"/>
    <w:rsid w:val="00F42253"/>
    <w:rsid w:val="00F45041"/>
    <w:rsid w:val="00F47C01"/>
    <w:rsid w:val="00F5038E"/>
    <w:rsid w:val="00F5040D"/>
    <w:rsid w:val="00F67EBC"/>
    <w:rsid w:val="00F72DD4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A2AF5"/>
    <w:rsid w:val="00FA78F1"/>
    <w:rsid w:val="00FB4BEF"/>
    <w:rsid w:val="00FB709F"/>
    <w:rsid w:val="00FB7703"/>
    <w:rsid w:val="00FC0376"/>
    <w:rsid w:val="00FC1D64"/>
    <w:rsid w:val="00FC20AC"/>
    <w:rsid w:val="00FC26DC"/>
    <w:rsid w:val="00FD297A"/>
    <w:rsid w:val="00FD4BCF"/>
    <w:rsid w:val="00FD5386"/>
    <w:rsid w:val="00FD6D03"/>
    <w:rsid w:val="00FE0CDA"/>
    <w:rsid w:val="00FE112E"/>
    <w:rsid w:val="00FE1986"/>
    <w:rsid w:val="00FE1A09"/>
    <w:rsid w:val="00FE2258"/>
    <w:rsid w:val="00FE3AFB"/>
    <w:rsid w:val="00FE3EDF"/>
    <w:rsid w:val="00FE4536"/>
    <w:rsid w:val="00FE4F47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fcf04dab-dc09-4c96-8051-2bc2fa59da3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fcf04dab-dc09-4c96-8051-2bc2fa59da3e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740</Words>
  <Characters>4224</Characters>
  <Application>Microsoft Office Word</Application>
  <DocSecurity>0</DocSecurity>
  <Lines>35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62</cp:revision>
  <cp:lastPrinted>2023-02-21T13:51:00Z</cp:lastPrinted>
  <dcterms:created xsi:type="dcterms:W3CDTF">2023-01-17T15:46:00Z</dcterms:created>
  <dcterms:modified xsi:type="dcterms:W3CDTF">2023-02-22T08:37:00Z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