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0574C" w14:textId="69A1ACB0" w:rsidR="003163A7" w:rsidRDefault="003163A7" w:rsidP="003163A7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ARRIVA A GAVIRATE (VA)</w:t>
      </w:r>
      <w:bookmarkEnd w:id="0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:</w:t>
      </w:r>
    </w:p>
    <w:p w14:paraId="1818F35D" w14:textId="4ED3BAB1" w:rsidR="008C439E" w:rsidRDefault="003163A7" w:rsidP="003163A7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INAUGURATO IL NUOVO STORE IN VIA GERLI</w:t>
      </w:r>
      <w:r w:rsidR="006A04C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6A04C7" w:rsidRPr="006A04C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Arioli</w:t>
      </w:r>
      <w:r w:rsidR="0089446E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all’interno del nuovo parco commerciale</w:t>
      </w:r>
    </w:p>
    <w:p w14:paraId="4E4A61E6" w14:textId="695F58A6" w:rsidR="005674D8" w:rsidRPr="005674D8" w:rsidRDefault="003A150F" w:rsidP="0089446E">
      <w:pPr>
        <w:pStyle w:val="EinfAbs"/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9A1086">
        <w:rPr>
          <w:rFonts w:asciiTheme="minorHAnsi" w:hAnsiTheme="minorHAnsi" w:cstheme="minorHAnsi"/>
          <w:bCs/>
          <w:i/>
          <w:sz w:val="28"/>
          <w:szCs w:val="28"/>
          <w:lang w:val="it-IT"/>
        </w:rPr>
        <w:t>23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lavoro</w:t>
      </w:r>
    </w:p>
    <w:p w14:paraId="5C218C83" w14:textId="48B420CE" w:rsidR="004C1E50" w:rsidRDefault="004C1E50" w:rsidP="00650415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511365E5" w14:textId="77777777" w:rsidR="00384BD2" w:rsidRPr="004C1E50" w:rsidRDefault="00384BD2" w:rsidP="00650415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73FB7B79" w14:textId="4D70F78B" w:rsidR="00612AD8" w:rsidRDefault="009A1086" w:rsidP="00650415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Gavirate (VA)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16</w:t>
      </w:r>
      <w:r w:rsidR="005674D8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novembre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424CB1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3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stato inaugurato</w:t>
      </w:r>
      <w:r w:rsidR="006A04C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oggi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il primo store </w:t>
      </w:r>
      <w:r w:rsidR="00C06826" w:rsidRPr="00CD29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A04C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="00C06826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163A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Gavirate</w:t>
      </w:r>
      <w:r w:rsidR="005674D8" w:rsidRPr="005674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(</w:t>
      </w:r>
      <w:r w:rsidR="003163A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</w:t>
      </w:r>
      <w:r w:rsidR="005674D8" w:rsidRPr="005674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)</w:t>
      </w:r>
      <w:r w:rsidR="00653733" w:rsidRPr="008C43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65373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in </w:t>
      </w:r>
      <w:r w:rsidR="003163A7" w:rsidRPr="003163A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Via Gerli Arioli angolo </w:t>
      </w:r>
      <w:r w:rsidR="003163A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</w:t>
      </w:r>
      <w:r w:rsidR="003163A7" w:rsidRPr="003163A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ia dei Fiori</w:t>
      </w:r>
      <w:r w:rsidR="0089446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 all’interno del nuovo parco commerciale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3163A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taglio del nastro</w:t>
      </w:r>
      <w:r w:rsidR="00C0044C" w:rsidRPr="00C004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004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questa </w:t>
      </w:r>
      <w:r w:rsidR="00C0044C" w:rsidRPr="00620FD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mattina, a cui ha partecipato anche il Sindaco Silvana Alberio,</w:t>
      </w:r>
      <w:r w:rsidR="00DC5650" w:rsidRPr="00620FD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C5650" w:rsidRPr="00620FD8">
        <w:rPr>
          <w:rFonts w:asciiTheme="minorHAnsi" w:hAnsiTheme="minorHAnsi" w:cstheme="minorHAnsi"/>
          <w:bCs/>
          <w:sz w:val="22"/>
          <w:szCs w:val="22"/>
          <w:lang w:val="it-IT"/>
        </w:rPr>
        <w:t>conferma</w:t>
      </w:r>
      <w:r w:rsidR="00DC565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il ruolo centrale dell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>a provincia di Varese nei pia</w:t>
      </w:r>
      <w:r w:rsidR="00DC5650" w:rsidRPr="003E59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ni di sviluppo dell’Azienda, dove attualmente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 presente con 15 supermercati, parte de</w:t>
      </w:r>
      <w:r w:rsidR="006A04C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gli oltre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730 store</w:t>
      </w:r>
      <w:r w:rsidRPr="009A10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conta 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nel Paese</w:t>
      </w:r>
      <w:r w:rsidR="00DC5650" w:rsidRPr="003E59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8944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Molto positivo il risvolto occupazionale dell’operazione:</w:t>
      </w:r>
      <w:r w:rsidR="00DC5650" w:rsidRPr="00036E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solo per il punto vendita di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Gavirate</w:t>
      </w:r>
      <w:r w:rsid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C5650" w:rsidRPr="00036E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sono stati </w:t>
      </w:r>
      <w:r w:rsidR="00DC5650" w:rsidRPr="0060183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assunti 2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DC5650" w:rsidRPr="0060183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</w:t>
      </w:r>
      <w:r w:rsidR="00DC5650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C5650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</w:t>
      </w:r>
      <w:r w:rsid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 aggiungono così </w:t>
      </w:r>
      <w:r w:rsidR="00DC5650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alla </w:t>
      </w:r>
      <w:r w:rsid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grande</w:t>
      </w:r>
      <w:r w:rsidR="00DC5650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squadra </w:t>
      </w:r>
      <w:r w:rsid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Lidl che conta </w:t>
      </w:r>
      <w:r w:rsidR="00DC5650" w:rsidRPr="0060183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più di 21.000 collaboratori</w:t>
      </w:r>
      <w:r w:rsid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 tutto il territorio nazionale</w:t>
      </w:r>
      <w:r w:rsidR="00DC5650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612AD8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C5650" w:rsidRP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favore della clientela </w:t>
      </w:r>
      <w:r w:rsidRP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è garantita </w:t>
      </w:r>
      <w:r w:rsidR="00DC5650" w:rsidRP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massima flessibilità di servizio </w:t>
      </w:r>
      <w:r w:rsidR="00DC5650" w:rsidRPr="00DC56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 lunedì al sabato dalle 8:00 alle 2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DC5650" w:rsidRPr="00DC56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DC5650" w:rsidRPr="00DC56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0 e la domenica dalle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8</w:t>
      </w:r>
      <w:r w:rsidR="00DC5650" w:rsidRPr="00DC56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DC5650" w:rsidRPr="00DC56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 alle 20: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DC5650" w:rsidRPr="00DC56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0.</w:t>
      </w:r>
    </w:p>
    <w:p w14:paraId="0085154F" w14:textId="77777777" w:rsidR="00DC5650" w:rsidRPr="00DC5650" w:rsidRDefault="00DC5650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</w:p>
    <w:p w14:paraId="3A46BA64" w14:textId="0625C8AA" w:rsidR="00DC5650" w:rsidRPr="00CA14E7" w:rsidRDefault="004863A5" w:rsidP="00DC5650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Energia green e sostenibilità ambientale</w:t>
      </w:r>
    </w:p>
    <w:p w14:paraId="46695EBA" w14:textId="33415038" w:rsidR="00DC5650" w:rsidRPr="005F3E86" w:rsidRDefault="00DC5650" w:rsidP="00DC5650">
      <w:pPr>
        <w:pStyle w:val="EinfAbs"/>
        <w:jc w:val="both"/>
        <w:rPr>
          <w:sz w:val="22"/>
          <w:szCs w:val="22"/>
          <w:lang w:val="it-IT"/>
        </w:rPr>
      </w:pPr>
      <w:r w:rsidRPr="002B6F2C">
        <w:rPr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'immobile, che sorge</w:t>
      </w:r>
      <w:r w:rsidR="003163A7" w:rsidRPr="003163A7">
        <w:rPr>
          <w:lang w:val="it-IT"/>
        </w:rPr>
        <w:t xml:space="preserve"> </w:t>
      </w:r>
      <w:r w:rsidR="003163A7" w:rsidRPr="003163A7">
        <w:rPr>
          <w:sz w:val="22"/>
          <w:szCs w:val="22"/>
          <w:lang w:val="it-IT"/>
        </w:rPr>
        <w:t xml:space="preserve">nei pressi della rotonda del </w:t>
      </w:r>
      <w:r w:rsidR="008B1797">
        <w:rPr>
          <w:sz w:val="22"/>
          <w:szCs w:val="22"/>
          <w:lang w:val="it-IT"/>
        </w:rPr>
        <w:t xml:space="preserve">nuovo </w:t>
      </w:r>
      <w:r w:rsidR="003163A7" w:rsidRPr="003163A7">
        <w:rPr>
          <w:sz w:val="22"/>
          <w:szCs w:val="22"/>
          <w:lang w:val="it-IT"/>
        </w:rPr>
        <w:t>polo commerciale</w:t>
      </w:r>
      <w:r w:rsidR="003163A7">
        <w:rPr>
          <w:sz w:val="22"/>
          <w:szCs w:val="22"/>
          <w:lang w:val="it-IT"/>
        </w:rPr>
        <w:t xml:space="preserve"> di Gavirate</w:t>
      </w:r>
      <w:r>
        <w:rPr>
          <w:sz w:val="22"/>
          <w:szCs w:val="22"/>
          <w:lang w:val="it-IT"/>
        </w:rPr>
        <w:t>, è stato progettato con l'utilizzo di</w:t>
      </w:r>
      <w:r w:rsidRPr="00396418">
        <w:rPr>
          <w:sz w:val="22"/>
          <w:szCs w:val="22"/>
          <w:lang w:val="it-IT"/>
        </w:rPr>
        <w:t xml:space="preserve"> </w:t>
      </w:r>
      <w:r w:rsidRPr="00396418">
        <w:rPr>
          <w:rFonts w:asciiTheme="minorHAnsi" w:hAnsiTheme="minorHAnsi" w:cstheme="minorHAnsi"/>
          <w:color w:val="auto"/>
          <w:sz w:val="22"/>
          <w:szCs w:val="22"/>
          <w:lang w:val="it-IT"/>
        </w:rPr>
        <w:t>metodi costruttivi moderni</w:t>
      </w:r>
      <w:r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attenti </w:t>
      </w:r>
      <w:r w:rsidRPr="002B6F2C">
        <w:rPr>
          <w:b/>
          <w:bCs/>
          <w:sz w:val="22"/>
          <w:szCs w:val="22"/>
          <w:lang w:val="it-IT"/>
        </w:rPr>
        <w:t>all’efficienza energetica</w:t>
      </w:r>
      <w:r w:rsidRPr="00396418">
        <w:rPr>
          <w:sz w:val="22"/>
          <w:szCs w:val="22"/>
          <w:lang w:val="it-IT"/>
        </w:rPr>
        <w:t xml:space="preserve">, a garanzia di </w:t>
      </w:r>
      <w:r>
        <w:rPr>
          <w:sz w:val="22"/>
          <w:szCs w:val="22"/>
          <w:lang w:val="it-IT"/>
        </w:rPr>
        <w:t xml:space="preserve">un edificio che rispetta </w:t>
      </w:r>
      <w:r w:rsidRPr="00396418">
        <w:rPr>
          <w:sz w:val="22"/>
          <w:szCs w:val="22"/>
          <w:lang w:val="it-IT"/>
        </w:rPr>
        <w:t xml:space="preserve">alti standard di </w:t>
      </w:r>
      <w:r w:rsidRPr="00396418">
        <w:rPr>
          <w:b/>
          <w:bCs/>
          <w:sz w:val="22"/>
          <w:szCs w:val="22"/>
          <w:lang w:val="it-IT"/>
        </w:rPr>
        <w:t>sostenibilità ambientale</w:t>
      </w:r>
      <w:r w:rsidRPr="00396418">
        <w:rPr>
          <w:sz w:val="22"/>
          <w:szCs w:val="22"/>
          <w:lang w:val="it-IT"/>
        </w:rPr>
        <w:t>.</w:t>
      </w:r>
      <w:r w:rsidRPr="002B6F2C">
        <w:rPr>
          <w:b/>
          <w:bCs/>
          <w:sz w:val="22"/>
          <w:szCs w:val="22"/>
          <w:lang w:val="it-IT"/>
        </w:rPr>
        <w:t xml:space="preserve"> </w:t>
      </w:r>
      <w:r w:rsidR="008B179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Lo</w:t>
      </w:r>
      <w:r w:rsidRP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store</w:t>
      </w:r>
      <w:r w:rsidR="009A10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-</w:t>
      </w:r>
      <w:r w:rsidRP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sviluppa un’</w:t>
      </w:r>
      <w:r w:rsidRPr="00DC56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area vendita di circa 1.300 mq</w:t>
      </w:r>
      <w:r w:rsidR="009A10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-</w:t>
      </w:r>
      <w:r w:rsidRP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rientra in </w:t>
      </w:r>
      <w:r w:rsidRPr="00DC56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classe A4</w:t>
      </w:r>
      <w:r w:rsidRP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ed è caratterizzato da ampie vetrate che assicurano </w:t>
      </w:r>
      <w:r w:rsidR="008B179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maggiore</w:t>
      </w:r>
      <w:r w:rsidRP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luminosità, sfruttando al massimo la luce naturale</w:t>
      </w:r>
      <w:r w:rsidRPr="00DC5650">
        <w:rPr>
          <w:rFonts w:cs="Calibri-Bold"/>
          <w:bCs/>
          <w:color w:val="auto"/>
          <w:sz w:val="22"/>
          <w:szCs w:val="22"/>
          <w:lang w:val="it-IT"/>
        </w:rPr>
        <w:t>.</w:t>
      </w:r>
      <w:r w:rsidRPr="00DC5650">
        <w:rPr>
          <w:sz w:val="22"/>
          <w:szCs w:val="22"/>
          <w:lang w:val="it-IT"/>
        </w:rPr>
        <w:t xml:space="preserve"> </w:t>
      </w:r>
      <w:r w:rsidRPr="008B00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Sempre in ottica green,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</w:t>
      </w:r>
      <w:r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 struttura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dotata di</w:t>
      </w:r>
      <w:r w:rsidRPr="00A20895">
        <w:rPr>
          <w:sz w:val="22"/>
          <w:szCs w:val="22"/>
          <w:lang w:val="it-IT"/>
        </w:rPr>
        <w:t xml:space="preserve"> un </w:t>
      </w:r>
      <w:r w:rsidRPr="00A20895">
        <w:rPr>
          <w:b/>
          <w:bCs/>
          <w:sz w:val="22"/>
          <w:szCs w:val="22"/>
          <w:lang w:val="it-IT"/>
        </w:rPr>
        <w:t xml:space="preserve">impianto fotovoltaico da </w:t>
      </w:r>
      <w:r w:rsidR="009A1086">
        <w:rPr>
          <w:b/>
          <w:bCs/>
          <w:sz w:val="22"/>
          <w:szCs w:val="22"/>
          <w:lang w:val="it-IT"/>
        </w:rPr>
        <w:t>220</w:t>
      </w:r>
      <w:r w:rsidRPr="00A20895">
        <w:rPr>
          <w:b/>
          <w:bCs/>
          <w:sz w:val="22"/>
          <w:szCs w:val="22"/>
          <w:lang w:val="it-IT"/>
        </w:rPr>
        <w:t xml:space="preserve"> kW</w:t>
      </w:r>
      <w:r w:rsidR="009A1086">
        <w:rPr>
          <w:b/>
          <w:bCs/>
          <w:sz w:val="22"/>
          <w:szCs w:val="22"/>
          <w:lang w:val="it-IT"/>
        </w:rPr>
        <w:t>h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impiega esclusivamente </w:t>
      </w:r>
      <w:r w:rsidRPr="00DB22B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energia proveniente da fonti rinnovabili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</w:t>
      </w:r>
      <w:r w:rsidRPr="008B00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</w:t>
      </w:r>
      <w:r w:rsidRPr="008B00F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impianto di luci a LED</w:t>
      </w:r>
      <w:r w:rsidRPr="008B00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cui è fornit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Pr="008B00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consente di risparmiare oltre il 50% rispetto alle precedenti tecnologie. </w:t>
      </w:r>
      <w:r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 tratta quindi di un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immobile </w:t>
      </w:r>
      <w:r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rispetta appieno le importanti misure che l’Insegna ha attuato </w:t>
      </w:r>
      <w:r w:rsidRPr="002B6F2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verso la completa sostenibilità energetica</w:t>
      </w:r>
      <w:r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concretizzando il proprio passaggio da un mix energetico centrato sui combustibili fossili a uno basato sulle fonti rinnovabili.</w:t>
      </w:r>
    </w:p>
    <w:p w14:paraId="5363DB96" w14:textId="51138898" w:rsidR="00DC5650" w:rsidRPr="008073DF" w:rsidRDefault="00DC5650" w:rsidP="00DC5650">
      <w:pPr>
        <w:spacing w:after="0" w:line="288" w:lineRule="auto"/>
        <w:jc w:val="both"/>
        <w:rPr>
          <w:rFonts w:cs="Calibri-Bold"/>
          <w:bCs/>
          <w:lang w:val="it-IT"/>
        </w:rPr>
      </w:pPr>
      <w:r>
        <w:rPr>
          <w:rFonts w:cs="Calibri-Bold"/>
          <w:bCs/>
          <w:lang w:val="it-IT"/>
        </w:rPr>
        <w:t xml:space="preserve">Lidl Italia, da sempre </w:t>
      </w:r>
      <w:r w:rsidRPr="00FB6CB4">
        <w:rPr>
          <w:rFonts w:cs="Calibri-Bold"/>
          <w:b/>
          <w:lang w:val="it-IT"/>
        </w:rPr>
        <w:t>attenta al territorio</w:t>
      </w:r>
      <w:r>
        <w:rPr>
          <w:rFonts w:cs="Calibri-Bold"/>
          <w:bCs/>
          <w:lang w:val="it-IT"/>
        </w:rPr>
        <w:t xml:space="preserve">, ha </w:t>
      </w:r>
      <w:r w:rsidR="009A1086">
        <w:rPr>
          <w:rFonts w:cs="Calibri-Bold"/>
          <w:bCs/>
          <w:lang w:val="it-IT"/>
        </w:rPr>
        <w:t xml:space="preserve">infine </w:t>
      </w:r>
      <w:r>
        <w:rPr>
          <w:rFonts w:cs="Calibri-Bold"/>
          <w:bCs/>
          <w:lang w:val="it-IT"/>
        </w:rPr>
        <w:t xml:space="preserve">realizzato </w:t>
      </w:r>
      <w:r>
        <w:rPr>
          <w:rFonts w:asciiTheme="minorHAnsi" w:hAnsiTheme="minorHAnsi" w:cstheme="minorHAnsi"/>
          <w:bCs/>
          <w:lang w:val="it-IT"/>
        </w:rPr>
        <w:t>alcune</w:t>
      </w:r>
      <w:r w:rsidRPr="00B46132">
        <w:rPr>
          <w:rFonts w:asciiTheme="minorHAnsi" w:hAnsiTheme="minorHAnsi" w:cstheme="minorHAnsi"/>
          <w:bCs/>
          <w:lang w:val="it-IT"/>
        </w:rPr>
        <w:t xml:space="preserve"> </w:t>
      </w:r>
      <w:r w:rsidRPr="00FB6CB4">
        <w:rPr>
          <w:rFonts w:asciiTheme="minorHAnsi" w:hAnsiTheme="minorHAnsi" w:cstheme="minorHAnsi"/>
          <w:b/>
          <w:lang w:val="it-IT"/>
        </w:rPr>
        <w:t>opere di urbanizzazione</w:t>
      </w:r>
      <w:r>
        <w:rPr>
          <w:rFonts w:asciiTheme="minorHAnsi" w:hAnsiTheme="minorHAnsi" w:cstheme="minorHAnsi"/>
          <w:bCs/>
          <w:lang w:val="it-IT"/>
        </w:rPr>
        <w:t xml:space="preserve"> </w:t>
      </w:r>
      <w:r>
        <w:rPr>
          <w:rFonts w:cs="Calibri-Bold"/>
          <w:bCs/>
          <w:lang w:val="it-IT"/>
        </w:rPr>
        <w:t xml:space="preserve">utili a </w:t>
      </w:r>
      <w:r w:rsidRPr="008073DF">
        <w:rPr>
          <w:rFonts w:cs="Calibri-Bold"/>
          <w:bCs/>
          <w:lang w:val="it-IT"/>
        </w:rPr>
        <w:t>favorire la viabilità sulle strade limitrofe all’accesso del punto vendita</w:t>
      </w:r>
      <w:r>
        <w:rPr>
          <w:rFonts w:cs="Calibri-Bold"/>
          <w:bCs/>
          <w:lang w:val="it-IT"/>
        </w:rPr>
        <w:t>, a cui si aggiung</w:t>
      </w:r>
      <w:r w:rsidR="009A1086">
        <w:rPr>
          <w:rFonts w:cs="Calibri-Bold"/>
          <w:bCs/>
          <w:lang w:val="it-IT"/>
        </w:rPr>
        <w:t>e</w:t>
      </w:r>
      <w:r>
        <w:rPr>
          <w:rFonts w:cs="Calibri-Bold"/>
          <w:bCs/>
          <w:lang w:val="it-IT"/>
        </w:rPr>
        <w:t xml:space="preserve"> </w:t>
      </w:r>
      <w:r>
        <w:rPr>
          <w:rFonts w:asciiTheme="minorHAnsi" w:hAnsiTheme="minorHAnsi" w:cstheme="minorHAnsi"/>
          <w:bCs/>
          <w:lang w:val="it-IT"/>
        </w:rPr>
        <w:t xml:space="preserve">la costruzione di una </w:t>
      </w:r>
      <w:r w:rsidR="009A1086">
        <w:rPr>
          <w:rFonts w:asciiTheme="minorHAnsi" w:hAnsiTheme="minorHAnsi" w:cstheme="minorHAnsi"/>
          <w:b/>
          <w:lang w:val="it-IT"/>
        </w:rPr>
        <w:t>pista ciclabile</w:t>
      </w:r>
      <w:r w:rsidRPr="006D5321">
        <w:rPr>
          <w:rFonts w:asciiTheme="minorHAnsi" w:hAnsiTheme="minorHAnsi" w:cstheme="minorHAnsi"/>
          <w:b/>
          <w:lang w:val="it-IT"/>
        </w:rPr>
        <w:t xml:space="preserve"> </w:t>
      </w:r>
      <w:r w:rsidR="006A04C7" w:rsidRPr="006A04C7">
        <w:rPr>
          <w:rFonts w:asciiTheme="minorHAnsi" w:hAnsiTheme="minorHAnsi" w:cstheme="minorHAnsi"/>
          <w:bCs/>
          <w:lang w:val="it-IT"/>
        </w:rPr>
        <w:t>a favore della comunità</w:t>
      </w:r>
      <w:r w:rsidR="006A04C7">
        <w:rPr>
          <w:rFonts w:asciiTheme="minorHAnsi" w:hAnsiTheme="minorHAnsi" w:cstheme="minorHAnsi"/>
          <w:b/>
          <w:lang w:val="it-IT"/>
        </w:rPr>
        <w:t xml:space="preserve"> </w:t>
      </w:r>
      <w:r>
        <w:rPr>
          <w:rFonts w:asciiTheme="minorHAnsi" w:hAnsiTheme="minorHAnsi" w:cstheme="minorHAnsi"/>
          <w:bCs/>
          <w:lang w:val="it-IT"/>
        </w:rPr>
        <w:t>e quella di un</w:t>
      </w:r>
      <w:r w:rsidRPr="00B46132">
        <w:rPr>
          <w:rFonts w:asciiTheme="minorHAnsi" w:hAnsiTheme="minorHAnsi" w:cstheme="minorHAnsi"/>
          <w:bCs/>
          <w:lang w:val="it-IT"/>
        </w:rPr>
        <w:t xml:space="preserve"> </w:t>
      </w:r>
      <w:r w:rsidRPr="00FB6CB4">
        <w:rPr>
          <w:rFonts w:asciiTheme="minorHAnsi" w:hAnsiTheme="minorHAnsi" w:cstheme="minorHAnsi"/>
          <w:b/>
          <w:lang w:val="it-IT"/>
        </w:rPr>
        <w:t>parcheggio</w:t>
      </w:r>
      <w:r>
        <w:rPr>
          <w:rFonts w:asciiTheme="minorHAnsi" w:hAnsiTheme="minorHAnsi" w:cstheme="minorHAnsi"/>
          <w:bCs/>
          <w:lang w:val="it-IT"/>
        </w:rPr>
        <w:t xml:space="preserve">, </w:t>
      </w:r>
      <w:r w:rsidRPr="008073DF">
        <w:rPr>
          <w:rFonts w:cs="Calibri-Bold"/>
          <w:bCs/>
          <w:lang w:val="it-IT"/>
        </w:rPr>
        <w:t xml:space="preserve">composto da </w:t>
      </w:r>
      <w:r>
        <w:rPr>
          <w:rFonts w:cs="Calibri-Bold"/>
          <w:b/>
          <w:lang w:val="it-IT"/>
        </w:rPr>
        <w:t xml:space="preserve">oltre </w:t>
      </w:r>
      <w:r w:rsidR="00C0044C">
        <w:rPr>
          <w:rFonts w:cs="Calibri-Bold"/>
          <w:b/>
          <w:lang w:val="it-IT"/>
        </w:rPr>
        <w:t>25</w:t>
      </w:r>
      <w:r>
        <w:rPr>
          <w:rFonts w:cs="Calibri-Bold"/>
          <w:b/>
          <w:lang w:val="it-IT"/>
        </w:rPr>
        <w:t>0</w:t>
      </w:r>
      <w:r w:rsidRPr="00FB6CB4">
        <w:rPr>
          <w:rFonts w:cs="Calibri-Bold"/>
          <w:b/>
          <w:lang w:val="it-IT"/>
        </w:rPr>
        <w:t xml:space="preserve"> posti auto</w:t>
      </w:r>
      <w:r w:rsidRPr="00C4375A">
        <w:rPr>
          <w:rFonts w:cs="Calibri-Bold"/>
          <w:bCs/>
          <w:lang w:val="it-IT"/>
        </w:rPr>
        <w:t>, in parte adibito ad uso pubblico.</w:t>
      </w:r>
    </w:p>
    <w:p w14:paraId="7DC62790" w14:textId="77777777" w:rsidR="006B37B6" w:rsidRDefault="006B37B6" w:rsidP="00C06826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1DBEB3C2" w14:textId="63F77902" w:rsidR="00C06826" w:rsidRPr="00FE4F47" w:rsidRDefault="002C76E7" w:rsidP="00C0682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Lidl e il Trimestre </w:t>
      </w:r>
      <w:proofErr w:type="gramStart"/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anti-inflazione</w:t>
      </w:r>
      <w:proofErr w:type="gramEnd"/>
    </w:p>
    <w:p w14:paraId="2AD46EF6" w14:textId="10C11415" w:rsidR="00A95D78" w:rsidRPr="004347BE" w:rsidRDefault="00C06826" w:rsidP="00650415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1C2EFE">
        <w:rPr>
          <w:rFonts w:asciiTheme="minorHAnsi" w:hAnsiTheme="minorHAnsi" w:cstheme="minorHAnsi"/>
          <w:b/>
          <w:bCs/>
          <w:color w:val="auto"/>
          <w:sz w:val="22"/>
          <w:szCs w:val="22"/>
        </w:rPr>
        <w:t>Lidl Italia</w:t>
      </w:r>
      <w:r w:rsidRPr="001C2EFE">
        <w:rPr>
          <w:rFonts w:asciiTheme="minorHAnsi" w:hAnsiTheme="minorHAnsi" w:cstheme="minorHAnsi"/>
          <w:color w:val="auto"/>
          <w:sz w:val="22"/>
          <w:szCs w:val="22"/>
        </w:rPr>
        <w:t xml:space="preserve">, come Insegna </w:t>
      </w:r>
      <w:r w:rsidRPr="00537E69">
        <w:rPr>
          <w:rFonts w:asciiTheme="minorHAnsi" w:hAnsiTheme="minorHAnsi" w:cstheme="minorHAnsi"/>
          <w:color w:val="auto"/>
          <w:sz w:val="22"/>
          <w:szCs w:val="22"/>
        </w:rPr>
        <w:t>associata</w:t>
      </w:r>
      <w:r w:rsidRPr="001C2EFE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Pr="001C2EF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Federdistribuzione,</w:t>
      </w:r>
      <w:r w:rsidR="00384BD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8C439E">
        <w:rPr>
          <w:rFonts w:eastAsiaTheme="minorHAnsi" w:cs="Calibri-Bold"/>
          <w:bCs/>
          <w:color w:val="auto"/>
          <w:sz w:val="22"/>
          <w:szCs w:val="22"/>
          <w:lang w:eastAsia="en-US"/>
        </w:rPr>
        <w:t>in ottobre</w:t>
      </w:r>
      <w:r w:rsidR="00384BD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1C2EFE">
        <w:rPr>
          <w:rFonts w:eastAsiaTheme="minorHAnsi" w:cs="Calibri-Bold"/>
          <w:b/>
          <w:color w:val="auto"/>
          <w:sz w:val="22"/>
          <w:szCs w:val="22"/>
          <w:lang w:eastAsia="en-US"/>
        </w:rPr>
        <w:t>ha aderito all’accordo “Il trimestre anti-inflazione”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Pr="00C06826">
        <w:rPr>
          <w:rFonts w:eastAsiaTheme="minorHAnsi" w:cs="Calibri-Bold"/>
          <w:bCs/>
          <w:color w:val="auto"/>
          <w:sz w:val="22"/>
          <w:szCs w:val="22"/>
          <w:lang w:eastAsia="en-US"/>
        </w:rPr>
        <w:t>promosso dal Governo</w:t>
      </w:r>
      <w:r w:rsidRPr="001C2EF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per contribuire al contenimento dei prezzi e a tutelare il potere di acquisto delle famiglie.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Un </w:t>
      </w:r>
      <w:r w:rsidRPr="001C2EF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impegno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che l’Azienda aveva assunto già da</w:t>
      </w:r>
      <w:r w:rsidRPr="001C2EF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aprile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Pr="001C2EF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ribassando il prezzo </w:t>
      </w:r>
      <w:r w:rsidRPr="001C2EFE">
        <w:rPr>
          <w:rFonts w:eastAsiaTheme="minorHAnsi" w:cs="Calibri-Bold"/>
          <w:bCs/>
          <w:color w:val="auto"/>
          <w:sz w:val="22"/>
          <w:szCs w:val="22"/>
          <w:lang w:eastAsia="en-US"/>
        </w:rPr>
        <w:lastRenderedPageBreak/>
        <w:t xml:space="preserve">di oltre 300 articoli del suo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vasto assortimento, che comprende 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tutto il necessario per una spesa completa e al </w:t>
      </w:r>
      <w:r w:rsidRPr="00FE4F47">
        <w:rPr>
          <w:rFonts w:eastAsiaTheme="minorHAnsi" w:cs="Calibri-Bold"/>
          <w:b/>
          <w:color w:val="auto"/>
          <w:sz w:val="22"/>
          <w:szCs w:val="22"/>
          <w:lang w:eastAsia="en-US"/>
        </w:rPr>
        <w:t>miglior rapporto qualità-prezzo</w:t>
      </w:r>
      <w:r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. </w:t>
      </w:r>
      <w:r w:rsidR="00D626EE"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A testimoniare la discesa dei prezzi è </w:t>
      </w:r>
      <w:proofErr w:type="spellStart"/>
      <w:r w:rsidR="00D626EE"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t>NielsenIQ</w:t>
      </w:r>
      <w:proofErr w:type="spellEnd"/>
      <w:r w:rsidR="00D626EE"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, tramite il servizio RMS (Retail </w:t>
      </w:r>
      <w:proofErr w:type="spellStart"/>
      <w:r w:rsidR="00D626EE"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t>Measurement</w:t>
      </w:r>
      <w:proofErr w:type="spellEnd"/>
      <w:r w:rsidR="00D626EE"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Services), certificando che nel periodo aprile-agosto 2023, Lidl Italia ha abbassato del 7% i prezzi di 300 articoli della spesa quotidiana</w:t>
      </w:r>
      <w:r w:rsidR="0089446E">
        <w:rPr>
          <w:rFonts w:eastAsiaTheme="minorHAnsi" w:cs="Calibri-Bold"/>
          <w:b/>
          <w:color w:val="auto"/>
          <w:sz w:val="22"/>
          <w:szCs w:val="22"/>
          <w:lang w:eastAsia="en-US"/>
        </w:rPr>
        <w:t>, articoli che ora sono bloccati</w:t>
      </w:r>
      <w:r w:rsidR="00893E58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fino a fine anno</w:t>
      </w:r>
      <w:r w:rsidR="00D626EE" w:rsidRPr="006A04C7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2C76E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4347BE" w:rsidRPr="004347B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Il percorso di ribasso dei prezzi </w:t>
      </w:r>
      <w:r w:rsidR="00893E5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si è ulteriormente concretizzato </w:t>
      </w:r>
      <w:r w:rsidR="004347BE" w:rsidRPr="004347B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nelle </w:t>
      </w:r>
      <w:r w:rsidR="00893E58">
        <w:rPr>
          <w:rFonts w:eastAsiaTheme="minorHAnsi" w:cs="Calibri-Bold"/>
          <w:bCs/>
          <w:color w:val="auto"/>
          <w:sz w:val="22"/>
          <w:szCs w:val="22"/>
          <w:lang w:eastAsia="en-US"/>
        </w:rPr>
        <w:t>scorse</w:t>
      </w:r>
      <w:r w:rsidR="004347BE" w:rsidRPr="004347B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settimane con </w:t>
      </w:r>
      <w:r w:rsidR="00893E58">
        <w:rPr>
          <w:rFonts w:eastAsiaTheme="minorHAnsi" w:cs="Calibri-Bold"/>
          <w:bCs/>
          <w:color w:val="auto"/>
          <w:sz w:val="22"/>
          <w:szCs w:val="22"/>
          <w:lang w:eastAsia="en-US"/>
        </w:rPr>
        <w:t>nuovi</w:t>
      </w:r>
      <w:r w:rsidR="004347BE" w:rsidRPr="004347B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sconti e attraverso un carrello della spesa composto da beni essenziali - dal latte alle uova, dagli spaghetti alla farina - sotto i 20 euro bloccato</w:t>
      </w:r>
      <w:r w:rsidR="00893E58">
        <w:rPr>
          <w:rFonts w:eastAsiaTheme="minorHAnsi" w:cs="Calibri-Bold"/>
          <w:bCs/>
          <w:color w:val="auto"/>
          <w:sz w:val="22"/>
          <w:szCs w:val="22"/>
          <w:lang w:eastAsia="en-US"/>
        </w:rPr>
        <w:t>, anche questo,</w:t>
      </w:r>
      <w:r w:rsidR="004347BE" w:rsidRPr="004347B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fino al 31 dicembre</w:t>
      </w:r>
      <w:r w:rsidR="004347BE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3F6E2093" w14:textId="5C22A98F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8CFB94D" w14:textId="77777777" w:rsidR="005471F0" w:rsidRDefault="005471F0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69D6D33" w14:textId="77777777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A91E940" w:rsidR="00D33D37" w:rsidRPr="00C06826" w:rsidRDefault="002C51F7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di oltre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C06826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0E3F28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A5E89AA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5920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3872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A96AD3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7336"/>
    <w:rsid w:val="003936F8"/>
    <w:rsid w:val="0039614D"/>
    <w:rsid w:val="003A150F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7BE"/>
    <w:rsid w:val="004349BF"/>
    <w:rsid w:val="00440BF1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5E09"/>
    <w:rsid w:val="004863A5"/>
    <w:rsid w:val="00487BD5"/>
    <w:rsid w:val="004934BF"/>
    <w:rsid w:val="004949ED"/>
    <w:rsid w:val="004950B7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405F"/>
    <w:rsid w:val="005674D8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947AB"/>
    <w:rsid w:val="006A04C7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A08CA"/>
    <w:rsid w:val="008A1261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4165"/>
    <w:rsid w:val="009F481D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03C0"/>
    <w:rsid w:val="00D31699"/>
    <w:rsid w:val="00D33D37"/>
    <w:rsid w:val="00D3507B"/>
    <w:rsid w:val="00D35B12"/>
    <w:rsid w:val="00D3741E"/>
    <w:rsid w:val="00D41FB3"/>
    <w:rsid w:val="00D44686"/>
    <w:rsid w:val="00D45278"/>
    <w:rsid w:val="00D452DE"/>
    <w:rsid w:val="00D45AAC"/>
    <w:rsid w:val="00D522BD"/>
    <w:rsid w:val="00D53813"/>
    <w:rsid w:val="00D57B2C"/>
    <w:rsid w:val="00D6078F"/>
    <w:rsid w:val="00D626EE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5592"/>
    <w:rsid w:val="00DB5DC0"/>
    <w:rsid w:val="00DB766C"/>
    <w:rsid w:val="00DC42AA"/>
    <w:rsid w:val="00DC506D"/>
    <w:rsid w:val="00DC5650"/>
    <w:rsid w:val="00DC7925"/>
    <w:rsid w:val="00DD0E11"/>
    <w:rsid w:val="00DD1EBB"/>
    <w:rsid w:val="00DD5885"/>
    <w:rsid w:val="00DE3421"/>
    <w:rsid w:val="00DE56DD"/>
    <w:rsid w:val="00DF3D08"/>
    <w:rsid w:val="00DF46D9"/>
    <w:rsid w:val="00E0460F"/>
    <w:rsid w:val="00E0773E"/>
    <w:rsid w:val="00E07D37"/>
    <w:rsid w:val="00E1346A"/>
    <w:rsid w:val="00E1373B"/>
    <w:rsid w:val="00E16EFB"/>
    <w:rsid w:val="00E20156"/>
    <w:rsid w:val="00E269C9"/>
    <w:rsid w:val="00E300E1"/>
    <w:rsid w:val="00E342E9"/>
    <w:rsid w:val="00E379D8"/>
    <w:rsid w:val="00E4205F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C0CC2"/>
    <w:rsid w:val="00EC1241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cf04dab-dc09-4c96-8051-2bc2fa59da3e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16</cp:revision>
  <cp:lastPrinted>2023-02-21T13:58:00Z</cp:lastPrinted>
  <dcterms:created xsi:type="dcterms:W3CDTF">2023-11-02T11:18:00Z</dcterms:created>
  <dcterms:modified xsi:type="dcterms:W3CDTF">2023-11-10T14:29:00Z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