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2E545" w14:textId="5A62B54E" w:rsidR="00060C6C" w:rsidRDefault="00060C6C" w:rsidP="00060C6C">
      <w:pPr>
        <w:spacing w:after="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060C6C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ITALIA PRESENTA IL SUO </w:t>
      </w:r>
    </w:p>
    <w:p w14:paraId="5C34F404" w14:textId="49CB4495" w:rsidR="00511148" w:rsidRPr="00060C6C" w:rsidRDefault="00060C6C" w:rsidP="00060C6C">
      <w:pPr>
        <w:spacing w:after="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060C6C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“BILANCIO DI IMPATTO SOCIO-ECONOMICO” </w:t>
      </w:r>
    </w:p>
    <w:p w14:paraId="7C115862" w14:textId="5C99A83D" w:rsidR="00511148" w:rsidRPr="008E41DD" w:rsidRDefault="008E41DD" w:rsidP="008E41DD">
      <w:pPr>
        <w:spacing w:after="0"/>
        <w:jc w:val="center"/>
        <w:rPr>
          <w:rFonts w:cs="Calibri-Bold"/>
          <w:i/>
          <w:iCs/>
          <w:color w:val="1F497D"/>
          <w:sz w:val="28"/>
          <w:szCs w:val="28"/>
          <w:lang w:val="it-IT"/>
        </w:rPr>
      </w:pPr>
      <w:r>
        <w:rPr>
          <w:rFonts w:cs="Calibri-Bold"/>
          <w:i/>
          <w:iCs/>
          <w:color w:val="1F497D"/>
          <w:sz w:val="28"/>
          <w:szCs w:val="28"/>
          <w:lang w:val="it-IT"/>
        </w:rPr>
        <w:t>Secondo lo</w:t>
      </w:r>
      <w:r w:rsidR="00060C6C">
        <w:rPr>
          <w:rFonts w:cs="Calibri-Bold"/>
          <w:i/>
          <w:iCs/>
          <w:color w:val="1F497D"/>
          <w:sz w:val="28"/>
          <w:szCs w:val="28"/>
          <w:lang w:val="it-IT"/>
        </w:rPr>
        <w:t xml:space="preserve"> studio</w:t>
      </w:r>
      <w:r w:rsidR="00060C6C" w:rsidRPr="00060C6C">
        <w:rPr>
          <w:rFonts w:cs="Calibri-Bold"/>
          <w:i/>
          <w:iCs/>
          <w:color w:val="1F497D"/>
          <w:sz w:val="28"/>
          <w:szCs w:val="28"/>
          <w:lang w:val="it-IT"/>
        </w:rPr>
        <w:t xml:space="preserve"> realizzato da</w:t>
      </w:r>
      <w:r>
        <w:rPr>
          <w:rFonts w:cs="Calibri-Bold"/>
          <w:i/>
          <w:iCs/>
          <w:color w:val="1F497D"/>
          <w:sz w:val="28"/>
          <w:szCs w:val="28"/>
          <w:lang w:val="it-IT"/>
        </w:rPr>
        <w:t xml:space="preserve"> </w:t>
      </w:r>
      <w:r w:rsidR="00060C6C" w:rsidRPr="008E41DD">
        <w:rPr>
          <w:rFonts w:cs="Calibri-Bold"/>
          <w:i/>
          <w:iCs/>
          <w:color w:val="1F497D"/>
          <w:sz w:val="28"/>
          <w:szCs w:val="28"/>
          <w:lang w:val="it-IT"/>
        </w:rPr>
        <w:t xml:space="preserve">The </w:t>
      </w:r>
      <w:proofErr w:type="spellStart"/>
      <w:r w:rsidR="00060C6C" w:rsidRPr="008E41DD">
        <w:rPr>
          <w:rFonts w:cs="Calibri-Bold"/>
          <w:i/>
          <w:iCs/>
          <w:color w:val="1F497D"/>
          <w:sz w:val="28"/>
          <w:szCs w:val="28"/>
          <w:lang w:val="it-IT"/>
        </w:rPr>
        <w:t>European</w:t>
      </w:r>
      <w:proofErr w:type="spellEnd"/>
      <w:r w:rsidR="00060C6C" w:rsidRPr="008E41DD">
        <w:rPr>
          <w:rFonts w:cs="Calibri-Bold"/>
          <w:i/>
          <w:iCs/>
          <w:color w:val="1F497D"/>
          <w:sz w:val="28"/>
          <w:szCs w:val="28"/>
          <w:lang w:val="it-IT"/>
        </w:rPr>
        <w:t xml:space="preserve"> House – Ambrosetti</w:t>
      </w:r>
      <w:r w:rsidRPr="008E41DD">
        <w:rPr>
          <w:rFonts w:cs="Calibri-Bold"/>
          <w:i/>
          <w:iCs/>
          <w:color w:val="1F497D"/>
          <w:sz w:val="28"/>
          <w:szCs w:val="28"/>
          <w:lang w:val="it-IT"/>
        </w:rPr>
        <w:t>,</w:t>
      </w:r>
      <w:r w:rsidR="00F01CE9">
        <w:rPr>
          <w:rFonts w:cs="Calibri-Bold"/>
          <w:i/>
          <w:iCs/>
          <w:color w:val="1F497D"/>
          <w:sz w:val="28"/>
          <w:szCs w:val="28"/>
          <w:lang w:val="it-IT"/>
        </w:rPr>
        <w:t xml:space="preserve"> il contributo al PIL del</w:t>
      </w:r>
      <w:r w:rsidRPr="008E41DD">
        <w:rPr>
          <w:rFonts w:cs="Calibri-Bold"/>
          <w:i/>
          <w:iCs/>
          <w:color w:val="1F497D"/>
          <w:sz w:val="28"/>
          <w:szCs w:val="28"/>
          <w:lang w:val="it-IT"/>
        </w:rPr>
        <w:t>l’Insegna</w:t>
      </w:r>
      <w:r>
        <w:rPr>
          <w:rFonts w:cs="Calibri-Bold"/>
          <w:i/>
          <w:iCs/>
          <w:color w:val="1F497D"/>
          <w:sz w:val="28"/>
          <w:szCs w:val="28"/>
          <w:lang w:val="it-IT"/>
        </w:rPr>
        <w:t xml:space="preserve"> GDO </w:t>
      </w:r>
      <w:r w:rsidR="00A1122A">
        <w:rPr>
          <w:rFonts w:cs="Calibri-Bold"/>
          <w:i/>
          <w:iCs/>
          <w:color w:val="1F497D"/>
          <w:sz w:val="28"/>
          <w:szCs w:val="28"/>
          <w:lang w:val="it-IT"/>
        </w:rPr>
        <w:t xml:space="preserve">nel 2022 </w:t>
      </w:r>
      <w:r w:rsidR="00A1122A" w:rsidRPr="00F01CE9">
        <w:rPr>
          <w:rFonts w:cs="Calibri-Bold"/>
          <w:i/>
          <w:iCs/>
          <w:color w:val="1F497D"/>
          <w:sz w:val="28"/>
          <w:szCs w:val="28"/>
          <w:lang w:val="it-IT"/>
        </w:rPr>
        <w:t xml:space="preserve">è </w:t>
      </w:r>
      <w:r w:rsidR="00F01CE9">
        <w:rPr>
          <w:rFonts w:cs="Calibri-Bold"/>
          <w:i/>
          <w:iCs/>
          <w:color w:val="1F497D"/>
          <w:sz w:val="28"/>
          <w:szCs w:val="28"/>
          <w:lang w:val="it-IT"/>
        </w:rPr>
        <w:t>stato di</w:t>
      </w:r>
      <w:r w:rsidR="00F01CE9" w:rsidRPr="00F01CE9">
        <w:rPr>
          <w:rFonts w:cs="Calibri-Bold"/>
          <w:i/>
          <w:iCs/>
          <w:color w:val="1F497D"/>
          <w:sz w:val="28"/>
          <w:szCs w:val="28"/>
          <w:lang w:val="it-IT"/>
        </w:rPr>
        <w:t xml:space="preserve"> </w:t>
      </w:r>
      <w:r w:rsidR="00A1122A" w:rsidRPr="00F01CE9">
        <w:rPr>
          <w:rFonts w:cs="Calibri-Bold"/>
          <w:i/>
          <w:iCs/>
          <w:color w:val="1F497D"/>
          <w:sz w:val="28"/>
          <w:szCs w:val="28"/>
          <w:lang w:val="it-IT"/>
        </w:rPr>
        <w:t>€7,2 miliardi, pari a circa lo 0,4% del PIL del Paese</w:t>
      </w:r>
    </w:p>
    <w:p w14:paraId="3F716CB3" w14:textId="77777777" w:rsidR="00511148" w:rsidRPr="008E41DD" w:rsidRDefault="00511148" w:rsidP="00511148">
      <w:pPr>
        <w:tabs>
          <w:tab w:val="left" w:pos="1670"/>
        </w:tabs>
        <w:spacing w:after="0"/>
        <w:rPr>
          <w:rFonts w:cs="Calibri-Bold"/>
          <w:bCs/>
          <w:i/>
          <w:sz w:val="28"/>
          <w:szCs w:val="28"/>
          <w:lang w:val="it-IT"/>
        </w:rPr>
      </w:pPr>
      <w:r w:rsidRPr="008E41DD">
        <w:rPr>
          <w:rFonts w:cs="Calibri-Bold"/>
          <w:bCs/>
          <w:i/>
          <w:sz w:val="28"/>
          <w:szCs w:val="28"/>
          <w:lang w:val="it-IT"/>
        </w:rPr>
        <w:tab/>
      </w:r>
    </w:p>
    <w:p w14:paraId="56E393C0" w14:textId="685D5873" w:rsidR="004A7E11" w:rsidRDefault="00511148" w:rsidP="004A7E11">
      <w:pPr>
        <w:tabs>
          <w:tab w:val="left" w:pos="2805"/>
        </w:tabs>
        <w:jc w:val="both"/>
        <w:rPr>
          <w:rFonts w:asciiTheme="minorHAnsi" w:hAnsiTheme="minorHAnsi" w:cs="Calibri-Bold"/>
          <w:bCs/>
          <w:lang w:val="it-IT"/>
        </w:rPr>
      </w:pPr>
      <w:r>
        <w:rPr>
          <w:rFonts w:asciiTheme="minorHAnsi" w:eastAsiaTheme="minorEastAsia" w:hAnsiTheme="minorHAnsi" w:cs="Calibri"/>
          <w:i/>
          <w:color w:val="000000"/>
          <w:lang w:val="it-IT" w:eastAsia="zh-TW"/>
        </w:rPr>
        <w:t>Milano</w:t>
      </w:r>
      <w:r w:rsidRPr="009376A2">
        <w:rPr>
          <w:rFonts w:asciiTheme="minorHAnsi" w:eastAsiaTheme="minorEastAsia" w:hAnsiTheme="minorHAnsi" w:cs="Calibri"/>
          <w:i/>
          <w:color w:val="000000"/>
          <w:lang w:val="it-IT" w:eastAsia="zh-TW"/>
        </w:rPr>
        <w:t xml:space="preserve">, </w:t>
      </w:r>
      <w:r w:rsidR="002451B4">
        <w:rPr>
          <w:rFonts w:asciiTheme="minorHAnsi" w:eastAsiaTheme="minorEastAsia" w:hAnsiTheme="minorHAnsi" w:cs="Calibri"/>
          <w:i/>
          <w:color w:val="000000"/>
          <w:lang w:val="it-IT" w:eastAsia="zh-TW"/>
        </w:rPr>
        <w:t>13 maggio 2024</w:t>
      </w:r>
      <w:r w:rsidRPr="009376A2">
        <w:rPr>
          <w:rFonts w:asciiTheme="minorHAnsi" w:eastAsiaTheme="minorEastAsia" w:hAnsiTheme="minorHAnsi" w:cs="Calibri"/>
          <w:color w:val="000000"/>
          <w:lang w:val="it-IT" w:eastAsia="zh-TW"/>
        </w:rPr>
        <w:t xml:space="preserve"> </w:t>
      </w:r>
      <w:r w:rsidRPr="009376A2">
        <w:rPr>
          <w:rFonts w:asciiTheme="minorHAnsi" w:eastAsiaTheme="minorEastAsia" w:hAnsiTheme="minorHAnsi" w:cs="Calibri"/>
          <w:color w:val="000000"/>
          <w:lang w:val="it-IT" w:eastAsia="zh-TW"/>
        </w:rPr>
        <w:softHyphen/>
      </w:r>
      <w:r w:rsidRPr="009376A2">
        <w:rPr>
          <w:rFonts w:asciiTheme="minorHAnsi" w:eastAsiaTheme="minorEastAsia" w:hAnsiTheme="minorHAnsi" w:cs="Calibri"/>
          <w:color w:val="000000"/>
          <w:lang w:val="it-IT" w:eastAsia="zh-TW"/>
        </w:rPr>
        <w:softHyphen/>
      </w:r>
      <w:r w:rsidRPr="009376A2">
        <w:rPr>
          <w:rFonts w:asciiTheme="minorHAnsi" w:eastAsiaTheme="minorEastAsia" w:hAnsiTheme="minorHAnsi" w:cs="Calibri"/>
          <w:color w:val="000000"/>
          <w:lang w:val="it-IT" w:eastAsia="zh-TW"/>
        </w:rPr>
        <w:softHyphen/>
      </w:r>
      <w:r w:rsidRPr="009376A2">
        <w:rPr>
          <w:rFonts w:asciiTheme="minorHAnsi" w:hAnsiTheme="minorHAnsi" w:cs="Calibri-Bold"/>
          <w:bCs/>
          <w:lang w:val="it-IT"/>
        </w:rPr>
        <w:t xml:space="preserve">– </w:t>
      </w:r>
      <w:bookmarkStart w:id="1" w:name="_Hlk166054073"/>
      <w:r w:rsidR="004A7E11">
        <w:rPr>
          <w:rFonts w:asciiTheme="minorHAnsi" w:hAnsiTheme="minorHAnsi" w:cs="Calibri-Bold"/>
          <w:bCs/>
          <w:lang w:val="it-IT"/>
        </w:rPr>
        <w:t xml:space="preserve">La Grande Distribuzione italiana, </w:t>
      </w:r>
      <w:r w:rsidR="00D43C9D">
        <w:rPr>
          <w:rFonts w:asciiTheme="minorHAnsi" w:hAnsiTheme="minorHAnsi" w:cs="Calibri-Bold"/>
          <w:bCs/>
          <w:lang w:val="it-IT"/>
        </w:rPr>
        <w:t>lasciatasi alle spalle un</w:t>
      </w:r>
      <w:r w:rsidR="00F01CE9">
        <w:rPr>
          <w:rFonts w:asciiTheme="minorHAnsi" w:hAnsiTheme="minorHAnsi" w:cs="Calibri-Bold"/>
          <w:bCs/>
          <w:lang w:val="it-IT"/>
        </w:rPr>
        <w:t xml:space="preserve"> periodo complesso</w:t>
      </w:r>
      <w:r w:rsidR="004A7E11">
        <w:rPr>
          <w:rFonts w:asciiTheme="minorHAnsi" w:hAnsiTheme="minorHAnsi" w:cs="Calibri-Bold"/>
          <w:bCs/>
          <w:lang w:val="it-IT"/>
        </w:rPr>
        <w:t xml:space="preserve">, si conferma un settore strategico per il Paese registrando un </w:t>
      </w:r>
      <w:r w:rsidR="004A7E11" w:rsidRPr="00725803">
        <w:rPr>
          <w:rFonts w:asciiTheme="minorHAnsi" w:hAnsiTheme="minorHAnsi" w:cs="Calibri-Bold"/>
          <w:bCs/>
          <w:lang w:val="it-IT"/>
        </w:rPr>
        <w:t xml:space="preserve">fatturato </w:t>
      </w:r>
      <w:r w:rsidR="004B23B5" w:rsidRPr="00725803">
        <w:rPr>
          <w:rFonts w:asciiTheme="minorHAnsi" w:hAnsiTheme="minorHAnsi" w:cs="Calibri-Bold"/>
          <w:bCs/>
          <w:lang w:val="it-IT"/>
        </w:rPr>
        <w:t xml:space="preserve">di </w:t>
      </w:r>
      <w:r w:rsidR="00725803" w:rsidRPr="00725803">
        <w:rPr>
          <w:rFonts w:asciiTheme="minorHAnsi" w:hAnsiTheme="minorHAnsi" w:cs="Calibri-Bold"/>
          <w:bCs/>
          <w:lang w:val="it-IT"/>
        </w:rPr>
        <w:t>121</w:t>
      </w:r>
      <w:r w:rsidR="004B23B5" w:rsidRPr="00725803">
        <w:rPr>
          <w:rFonts w:asciiTheme="minorHAnsi" w:hAnsiTheme="minorHAnsi" w:cs="Calibri-Bold"/>
          <w:bCs/>
          <w:lang w:val="it-IT"/>
        </w:rPr>
        <w:t xml:space="preserve"> miliardi</w:t>
      </w:r>
      <w:r w:rsidR="004A7E11" w:rsidRPr="00725803">
        <w:rPr>
          <w:rFonts w:asciiTheme="minorHAnsi" w:hAnsiTheme="minorHAnsi" w:cs="Calibri-Bold"/>
          <w:bCs/>
          <w:lang w:val="it-IT"/>
        </w:rPr>
        <w:t xml:space="preserve"> di </w:t>
      </w:r>
      <w:proofErr w:type="gramStart"/>
      <w:r w:rsidR="004A7E11" w:rsidRPr="00725803">
        <w:rPr>
          <w:rFonts w:asciiTheme="minorHAnsi" w:hAnsiTheme="minorHAnsi" w:cs="Calibri-Bold"/>
          <w:bCs/>
          <w:lang w:val="it-IT"/>
        </w:rPr>
        <w:t>Euro</w:t>
      </w:r>
      <w:proofErr w:type="gramEnd"/>
      <w:r w:rsidR="004A7E11" w:rsidRPr="00725803">
        <w:rPr>
          <w:rFonts w:asciiTheme="minorHAnsi" w:hAnsiTheme="minorHAnsi" w:cs="Calibri-Bold"/>
          <w:bCs/>
          <w:lang w:val="it-IT"/>
        </w:rPr>
        <w:t xml:space="preserve">, </w:t>
      </w:r>
      <w:r w:rsidR="00725803" w:rsidRPr="00725803">
        <w:rPr>
          <w:rFonts w:asciiTheme="minorHAnsi" w:hAnsiTheme="minorHAnsi" w:cs="Calibri-Bold"/>
          <w:bCs/>
          <w:lang w:val="it-IT"/>
        </w:rPr>
        <w:t>circa 450 mila</w:t>
      </w:r>
      <w:r w:rsidR="004A7E11" w:rsidRPr="00725803">
        <w:rPr>
          <w:rFonts w:asciiTheme="minorHAnsi" w:hAnsiTheme="minorHAnsi" w:cs="Calibri-Bold"/>
          <w:bCs/>
          <w:lang w:val="it-IT"/>
        </w:rPr>
        <w:t xml:space="preserve"> addetti e 5</w:t>
      </w:r>
      <w:r w:rsidR="00725803" w:rsidRPr="00725803">
        <w:rPr>
          <w:rFonts w:asciiTheme="minorHAnsi" w:hAnsiTheme="minorHAnsi" w:cs="Calibri-Bold"/>
          <w:bCs/>
          <w:lang w:val="it-IT"/>
        </w:rPr>
        <w:t>4</w:t>
      </w:r>
      <w:r w:rsidR="004A7E11" w:rsidRPr="00725803">
        <w:rPr>
          <w:rFonts w:asciiTheme="minorHAnsi" w:hAnsiTheme="minorHAnsi" w:cs="Calibri-Bold"/>
          <w:bCs/>
          <w:lang w:val="it-IT"/>
        </w:rPr>
        <w:t xml:space="preserve"> mila punti vendita. Numeri che fanno capire il potenziale propulsivo di un settore che nel nostro Paese crea reddito, investimenti e occupazione.</w:t>
      </w:r>
      <w:r w:rsidR="004A7E11">
        <w:rPr>
          <w:rFonts w:asciiTheme="minorHAnsi" w:hAnsiTheme="minorHAnsi" w:cs="Calibri-Bold"/>
          <w:bCs/>
          <w:lang w:val="it-IT"/>
        </w:rPr>
        <w:t xml:space="preserve"> </w:t>
      </w:r>
      <w:bookmarkEnd w:id="1"/>
    </w:p>
    <w:p w14:paraId="07ECDCCB" w14:textId="2332011E" w:rsidR="004B23B5" w:rsidRDefault="004A7E11" w:rsidP="004B23B5">
      <w:pPr>
        <w:jc w:val="both"/>
        <w:rPr>
          <w:rFonts w:ascii="Source Sans Pro" w:hAnsi="Source Sans Pro"/>
          <w:lang w:val="it-IT"/>
        </w:rPr>
      </w:pPr>
      <w:r>
        <w:rPr>
          <w:rFonts w:asciiTheme="minorHAnsi" w:hAnsiTheme="minorHAnsi" w:cs="Calibri-Bold"/>
          <w:bCs/>
          <w:lang w:val="it-IT"/>
        </w:rPr>
        <w:t xml:space="preserve">In questo </w:t>
      </w:r>
      <w:r w:rsidR="00084BF1">
        <w:rPr>
          <w:rFonts w:asciiTheme="minorHAnsi" w:hAnsiTheme="minorHAnsi" w:cs="Calibri-Bold"/>
          <w:bCs/>
          <w:lang w:val="it-IT"/>
        </w:rPr>
        <w:t>contesto</w:t>
      </w:r>
      <w:r w:rsidR="004B23B5">
        <w:rPr>
          <w:rFonts w:asciiTheme="minorHAnsi" w:hAnsiTheme="minorHAnsi" w:cs="Calibri-Bold"/>
          <w:bCs/>
          <w:lang w:val="it-IT"/>
        </w:rPr>
        <w:t xml:space="preserve">, è stato presentato oggi il </w:t>
      </w:r>
      <w:r w:rsidR="004B23B5" w:rsidRPr="00D43C9D">
        <w:rPr>
          <w:rFonts w:asciiTheme="minorHAnsi" w:hAnsiTheme="minorHAnsi" w:cs="Calibri-Bold"/>
          <w:bCs/>
          <w:i/>
          <w:iCs/>
          <w:lang w:val="it-IT"/>
        </w:rPr>
        <w:t>“Bilancio di impatto socio-economico di Lidl in Italia”</w:t>
      </w:r>
      <w:r w:rsidR="004B23B5">
        <w:rPr>
          <w:rFonts w:asciiTheme="minorHAnsi" w:hAnsiTheme="minorHAnsi" w:cs="Calibri-Bold"/>
          <w:bCs/>
          <w:lang w:val="it-IT"/>
        </w:rPr>
        <w:t xml:space="preserve"> stilato da The </w:t>
      </w:r>
      <w:proofErr w:type="spellStart"/>
      <w:r w:rsidR="004B23B5">
        <w:rPr>
          <w:rFonts w:asciiTheme="minorHAnsi" w:hAnsiTheme="minorHAnsi" w:cs="Calibri-Bold"/>
          <w:bCs/>
          <w:lang w:val="it-IT"/>
        </w:rPr>
        <w:t>European</w:t>
      </w:r>
      <w:proofErr w:type="spellEnd"/>
      <w:r w:rsidR="004B23B5">
        <w:rPr>
          <w:rFonts w:asciiTheme="minorHAnsi" w:hAnsiTheme="minorHAnsi" w:cs="Calibri-Bold"/>
          <w:bCs/>
          <w:lang w:val="it-IT"/>
        </w:rPr>
        <w:t xml:space="preserve"> House – Ambrosetti, 1° </w:t>
      </w:r>
      <w:proofErr w:type="spellStart"/>
      <w:r w:rsidR="004B23B5">
        <w:rPr>
          <w:rFonts w:asciiTheme="minorHAnsi" w:hAnsiTheme="minorHAnsi" w:cs="Calibri-Bold"/>
          <w:bCs/>
          <w:lang w:val="it-IT"/>
        </w:rPr>
        <w:t>Think</w:t>
      </w:r>
      <w:proofErr w:type="spellEnd"/>
      <w:r w:rsidR="004B23B5">
        <w:rPr>
          <w:rFonts w:asciiTheme="minorHAnsi" w:hAnsiTheme="minorHAnsi" w:cs="Calibri-Bold"/>
          <w:bCs/>
          <w:lang w:val="it-IT"/>
        </w:rPr>
        <w:t xml:space="preserve"> Tank privato italiano. Lo studio </w:t>
      </w:r>
      <w:r w:rsidR="004B23B5" w:rsidRPr="004B23B5">
        <w:rPr>
          <w:rFonts w:asciiTheme="minorHAnsi" w:hAnsiTheme="minorHAnsi" w:cs="Calibri-Bold"/>
          <w:bCs/>
          <w:lang w:val="it-IT"/>
        </w:rPr>
        <w:t xml:space="preserve">ha misurato gli impatti e il contributo di Lidl alla creazione di valore per il Sistema Paese, applicando una metodologia multidimensionale in grado di valutare l’apporto dell’azienda alla crescita e </w:t>
      </w:r>
      <w:r w:rsidR="002667ED">
        <w:rPr>
          <w:rFonts w:asciiTheme="minorHAnsi" w:hAnsiTheme="minorHAnsi" w:cs="Calibri-Bold"/>
          <w:bCs/>
          <w:lang w:val="it-IT"/>
        </w:rPr>
        <w:t xml:space="preserve">allo </w:t>
      </w:r>
      <w:r w:rsidR="004B23B5" w:rsidRPr="004B23B5">
        <w:rPr>
          <w:rFonts w:asciiTheme="minorHAnsi" w:hAnsiTheme="minorHAnsi" w:cs="Calibri-Bold"/>
          <w:bCs/>
          <w:lang w:val="it-IT"/>
        </w:rPr>
        <w:t>sviluppo dei territori in termini economici e occupazionali.</w:t>
      </w:r>
      <w:r w:rsidR="004B23B5" w:rsidRPr="004B23B5">
        <w:rPr>
          <w:rFonts w:ascii="Source Sans Pro" w:hAnsi="Source Sans Pro"/>
          <w:lang w:val="it-IT"/>
        </w:rPr>
        <w:t xml:space="preserve"> </w:t>
      </w:r>
    </w:p>
    <w:p w14:paraId="02ABCE12" w14:textId="0A26C2DD" w:rsidR="00111FD5" w:rsidRPr="00111FD5" w:rsidRDefault="00111FD5" w:rsidP="00111FD5">
      <w:pPr>
        <w:jc w:val="both"/>
        <w:rPr>
          <w:rFonts w:cs="Calibri-Bold"/>
          <w:i/>
          <w:iCs/>
          <w:color w:val="1F497D"/>
          <w:sz w:val="28"/>
          <w:szCs w:val="28"/>
          <w:lang w:val="it-IT"/>
        </w:rPr>
      </w:pPr>
      <w:r w:rsidRPr="00111FD5">
        <w:rPr>
          <w:rFonts w:cs="Calibri-Bold"/>
          <w:i/>
          <w:iCs/>
          <w:color w:val="1F497D"/>
          <w:sz w:val="28"/>
          <w:szCs w:val="28"/>
          <w:lang w:val="it-IT"/>
        </w:rPr>
        <w:t xml:space="preserve">La presenza di Lidl in Italia: crescita </w:t>
      </w:r>
      <w:r>
        <w:rPr>
          <w:rFonts w:cs="Calibri-Bold"/>
          <w:i/>
          <w:iCs/>
          <w:color w:val="1F497D"/>
          <w:sz w:val="28"/>
          <w:szCs w:val="28"/>
          <w:lang w:val="it-IT"/>
        </w:rPr>
        <w:t>costante</w:t>
      </w:r>
      <w:r w:rsidRPr="00111FD5">
        <w:rPr>
          <w:rFonts w:cs="Calibri-Bold"/>
          <w:i/>
          <w:iCs/>
          <w:color w:val="1F497D"/>
          <w:sz w:val="28"/>
          <w:szCs w:val="28"/>
          <w:lang w:val="it-IT"/>
        </w:rPr>
        <w:t xml:space="preserve"> con al centro le persone</w:t>
      </w:r>
    </w:p>
    <w:p w14:paraId="6EF39344" w14:textId="5061A840" w:rsidR="004A7E11" w:rsidRPr="001D5A0F" w:rsidRDefault="004B23B5" w:rsidP="001D5A0F">
      <w:pPr>
        <w:jc w:val="both"/>
        <w:rPr>
          <w:rFonts w:asciiTheme="minorHAnsi" w:hAnsiTheme="minorHAnsi" w:cstheme="minorHAnsi"/>
          <w:lang w:val="it-IT"/>
        </w:rPr>
      </w:pPr>
      <w:r w:rsidRPr="004B23B5">
        <w:rPr>
          <w:rFonts w:asciiTheme="minorHAnsi" w:hAnsiTheme="minorHAnsi" w:cstheme="minorHAnsi"/>
          <w:lang w:val="it-IT"/>
        </w:rPr>
        <w:t xml:space="preserve">Nel 2022, i ricavi dell'azienda hanno raggiunto </w:t>
      </w:r>
      <w:r w:rsidRPr="002667ED">
        <w:rPr>
          <w:rFonts w:asciiTheme="minorHAnsi" w:hAnsiTheme="minorHAnsi" w:cstheme="minorHAnsi"/>
          <w:b/>
          <w:bCs/>
          <w:lang w:val="it-IT"/>
        </w:rPr>
        <w:t>€6,7 miliardi</w:t>
      </w:r>
      <w:r w:rsidR="002667ED" w:rsidRPr="002667ED">
        <w:rPr>
          <w:rFonts w:asciiTheme="minorHAnsi" w:hAnsiTheme="minorHAnsi" w:cstheme="minorHAnsi"/>
          <w:lang w:val="it-IT"/>
        </w:rPr>
        <w:t>,</w:t>
      </w:r>
      <w:r w:rsidRPr="002667ED">
        <w:rPr>
          <w:rFonts w:asciiTheme="minorHAnsi" w:hAnsiTheme="minorHAnsi" w:cstheme="minorHAnsi"/>
          <w:lang w:val="it-IT"/>
        </w:rPr>
        <w:t xml:space="preserve"> fr</w:t>
      </w:r>
      <w:r>
        <w:rPr>
          <w:rFonts w:asciiTheme="minorHAnsi" w:hAnsiTheme="minorHAnsi" w:cstheme="minorHAnsi"/>
          <w:lang w:val="it-IT"/>
        </w:rPr>
        <w:t>utto</w:t>
      </w:r>
      <w:r w:rsidRPr="004B23B5">
        <w:rPr>
          <w:rFonts w:asciiTheme="minorHAnsi" w:hAnsiTheme="minorHAnsi" w:cstheme="minorHAnsi"/>
          <w:lang w:val="it-IT"/>
        </w:rPr>
        <w:t xml:space="preserve"> di una crescita costante </w:t>
      </w:r>
      <w:r>
        <w:rPr>
          <w:rFonts w:asciiTheme="minorHAnsi" w:hAnsiTheme="minorHAnsi" w:cstheme="minorHAnsi"/>
          <w:lang w:val="it-IT"/>
        </w:rPr>
        <w:t xml:space="preserve">registrata </w:t>
      </w:r>
      <w:r w:rsidRPr="004B23B5">
        <w:rPr>
          <w:rFonts w:asciiTheme="minorHAnsi" w:hAnsiTheme="minorHAnsi" w:cstheme="minorHAnsi"/>
          <w:lang w:val="it-IT"/>
        </w:rPr>
        <w:t xml:space="preserve">nell’ultimo decennio, con un tasso di crescita medio annuo composto del </w:t>
      </w:r>
      <w:r w:rsidRPr="004B23B5">
        <w:rPr>
          <w:rFonts w:asciiTheme="minorHAnsi" w:hAnsiTheme="minorHAnsi" w:cstheme="minorHAnsi"/>
          <w:b/>
          <w:bCs/>
          <w:lang w:val="it-IT"/>
        </w:rPr>
        <w:t>+9,1%</w:t>
      </w:r>
      <w:r w:rsidRPr="004B23B5">
        <w:rPr>
          <w:rFonts w:asciiTheme="minorHAnsi" w:hAnsiTheme="minorHAnsi" w:cstheme="minorHAnsi"/>
          <w:lang w:val="it-IT"/>
        </w:rPr>
        <w:t>, ampiamente superiore alla media del settore della GDO (+1,6%)</w:t>
      </w:r>
      <w:r>
        <w:rPr>
          <w:rFonts w:asciiTheme="minorHAnsi" w:hAnsiTheme="minorHAnsi" w:cstheme="minorHAnsi"/>
          <w:lang w:val="it-IT"/>
        </w:rPr>
        <w:t xml:space="preserve">. Parallelamente alla crescita economica, </w:t>
      </w:r>
      <w:r w:rsidR="00BA38A9">
        <w:rPr>
          <w:rFonts w:asciiTheme="minorHAnsi" w:hAnsiTheme="minorHAnsi" w:cstheme="minorHAnsi"/>
          <w:lang w:val="it-IT"/>
        </w:rPr>
        <w:t xml:space="preserve">anche l’occupazione ha fatto un balzo in </w:t>
      </w:r>
      <w:r w:rsidR="00BA38A9" w:rsidRPr="00BA38A9">
        <w:rPr>
          <w:rFonts w:asciiTheme="minorHAnsi" w:hAnsiTheme="minorHAnsi" w:cstheme="minorHAnsi"/>
          <w:lang w:val="it-IT"/>
        </w:rPr>
        <w:t xml:space="preserve">avanti, </w:t>
      </w:r>
      <w:r w:rsidR="001D5A0F">
        <w:rPr>
          <w:rFonts w:asciiTheme="minorHAnsi" w:hAnsiTheme="minorHAnsi" w:cstheme="minorHAnsi"/>
          <w:lang w:val="it-IT"/>
        </w:rPr>
        <w:t>n</w:t>
      </w:r>
      <w:r w:rsidR="00BA38A9" w:rsidRPr="00BA38A9">
        <w:rPr>
          <w:rFonts w:asciiTheme="minorHAnsi" w:hAnsiTheme="minorHAnsi" w:cstheme="minorHAnsi"/>
          <w:lang w:val="it-IT"/>
        </w:rPr>
        <w:t xml:space="preserve">ell’ultimo decennio </w:t>
      </w:r>
      <w:r w:rsidR="00BA38A9" w:rsidRPr="00BA38A9">
        <w:rPr>
          <w:rFonts w:asciiTheme="minorHAnsi" w:hAnsiTheme="minorHAnsi" w:cstheme="minorHAnsi"/>
          <w:b/>
          <w:bCs/>
          <w:lang w:val="it-IT"/>
        </w:rPr>
        <w:t>l’occupazione diretta</w:t>
      </w:r>
      <w:r w:rsidR="00BA38A9" w:rsidRPr="00BA38A9">
        <w:rPr>
          <w:rFonts w:asciiTheme="minorHAnsi" w:hAnsiTheme="minorHAnsi" w:cstheme="minorHAnsi"/>
          <w:lang w:val="it-IT"/>
        </w:rPr>
        <w:t xml:space="preserve"> di Lidl in Italia è cresciuta ad un tasso del </w:t>
      </w:r>
      <w:r w:rsidR="00BA38A9" w:rsidRPr="000D55F3">
        <w:rPr>
          <w:rFonts w:asciiTheme="minorHAnsi" w:hAnsiTheme="minorHAnsi" w:cstheme="minorHAnsi"/>
          <w:b/>
          <w:bCs/>
          <w:lang w:val="it-IT"/>
        </w:rPr>
        <w:t>+8,8% medio annuo</w:t>
      </w:r>
      <w:r w:rsidR="00BA38A9" w:rsidRPr="000D55F3">
        <w:rPr>
          <w:rFonts w:asciiTheme="minorHAnsi" w:hAnsiTheme="minorHAnsi" w:cstheme="minorHAnsi"/>
          <w:lang w:val="it-IT"/>
        </w:rPr>
        <w:t>,</w:t>
      </w:r>
      <w:r w:rsidR="00A3407A" w:rsidRPr="000D55F3">
        <w:rPr>
          <w:rFonts w:asciiTheme="minorHAnsi" w:hAnsiTheme="minorHAnsi" w:cstheme="minorHAnsi"/>
          <w:lang w:val="it-IT"/>
        </w:rPr>
        <w:t xml:space="preserve"> con un forte impegno verso </w:t>
      </w:r>
      <w:r w:rsidR="000D55F3">
        <w:rPr>
          <w:rFonts w:asciiTheme="minorHAnsi" w:hAnsiTheme="minorHAnsi" w:cstheme="minorHAnsi"/>
          <w:lang w:val="it-IT"/>
        </w:rPr>
        <w:t>la stabilità</w:t>
      </w:r>
      <w:r w:rsidR="00A3407A" w:rsidRPr="000D55F3">
        <w:rPr>
          <w:rFonts w:asciiTheme="minorHAnsi" w:hAnsiTheme="minorHAnsi" w:cstheme="minorHAnsi"/>
          <w:lang w:val="it-IT"/>
        </w:rPr>
        <w:t xml:space="preserve">. </w:t>
      </w:r>
      <w:r w:rsidR="00E32747">
        <w:rPr>
          <w:rFonts w:asciiTheme="minorHAnsi" w:hAnsiTheme="minorHAnsi" w:cstheme="minorHAnsi"/>
          <w:lang w:val="it-IT"/>
        </w:rPr>
        <w:t xml:space="preserve">Il </w:t>
      </w:r>
      <w:r w:rsidR="000D55F3" w:rsidRPr="000D55F3">
        <w:rPr>
          <w:rFonts w:asciiTheme="minorHAnsi" w:hAnsiTheme="minorHAnsi" w:cstheme="minorHAnsi"/>
          <w:b/>
          <w:bCs/>
          <w:lang w:val="it-IT"/>
        </w:rPr>
        <w:t>90% degli impiegati</w:t>
      </w:r>
      <w:r w:rsidR="00E32747" w:rsidRPr="002667ED">
        <w:rPr>
          <w:rFonts w:asciiTheme="minorHAnsi" w:hAnsiTheme="minorHAnsi" w:cstheme="minorHAnsi"/>
          <w:lang w:val="it-IT"/>
        </w:rPr>
        <w:t>,</w:t>
      </w:r>
      <w:r w:rsidR="00E32747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E32747">
        <w:rPr>
          <w:rFonts w:asciiTheme="minorHAnsi" w:hAnsiTheme="minorHAnsi" w:cstheme="minorHAnsi"/>
          <w:lang w:val="it-IT"/>
        </w:rPr>
        <w:t>infatti,</w:t>
      </w:r>
      <w:r w:rsidR="000D55F3" w:rsidRPr="000D55F3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0D55F3">
        <w:rPr>
          <w:rFonts w:asciiTheme="minorHAnsi" w:hAnsiTheme="minorHAnsi" w:cstheme="minorHAnsi"/>
          <w:b/>
          <w:bCs/>
          <w:lang w:val="it-IT"/>
        </w:rPr>
        <w:t xml:space="preserve">è </w:t>
      </w:r>
      <w:r w:rsidR="000D55F3" w:rsidRPr="000D55F3">
        <w:rPr>
          <w:rFonts w:asciiTheme="minorHAnsi" w:hAnsiTheme="minorHAnsi" w:cstheme="minorHAnsi"/>
          <w:b/>
          <w:bCs/>
          <w:lang w:val="it-IT"/>
        </w:rPr>
        <w:t>a tempo indeterminato</w:t>
      </w:r>
      <w:r w:rsidR="000D55F3" w:rsidRPr="000D55F3">
        <w:rPr>
          <w:rFonts w:asciiTheme="minorHAnsi" w:hAnsiTheme="minorHAnsi" w:cstheme="minorHAnsi"/>
          <w:lang w:val="it-IT"/>
        </w:rPr>
        <w:t>, superando sia il settore della GDO (84,1%) che la media italiana (79,9%).</w:t>
      </w:r>
      <w:r w:rsidR="001D5A0F">
        <w:rPr>
          <w:rFonts w:asciiTheme="minorHAnsi" w:hAnsiTheme="minorHAnsi" w:cstheme="minorHAnsi"/>
          <w:lang w:val="it-IT"/>
        </w:rPr>
        <w:t xml:space="preserve"> La somma degli occupati diretti, indiretti e indotti dell’Azienda tocca quota </w:t>
      </w:r>
      <w:r w:rsidR="001D5A0F" w:rsidRPr="001D5A0F">
        <w:rPr>
          <w:rFonts w:asciiTheme="minorHAnsi" w:hAnsiTheme="minorHAnsi" w:cstheme="minorHAnsi"/>
          <w:b/>
          <w:bCs/>
          <w:lang w:val="it-IT"/>
        </w:rPr>
        <w:t>93.751 posti di lavoro a tempo pieno equivalenti</w:t>
      </w:r>
      <w:r w:rsidR="001D5A0F" w:rsidRPr="001D5A0F">
        <w:rPr>
          <w:rFonts w:asciiTheme="minorHAnsi" w:hAnsiTheme="minorHAnsi" w:cstheme="minorHAnsi"/>
          <w:lang w:val="it-IT"/>
        </w:rPr>
        <w:t>, per</w:t>
      </w:r>
      <w:r w:rsidR="001D5A0F">
        <w:rPr>
          <w:rFonts w:asciiTheme="minorHAnsi" w:hAnsiTheme="minorHAnsi" w:cstheme="minorHAnsi"/>
          <w:lang w:val="it-IT"/>
        </w:rPr>
        <w:t xml:space="preserve"> </w:t>
      </w:r>
      <w:r w:rsidR="001D5A0F" w:rsidRPr="001D5A0F">
        <w:rPr>
          <w:rFonts w:asciiTheme="minorHAnsi" w:hAnsiTheme="minorHAnsi" w:cstheme="minorHAnsi"/>
          <w:lang w:val="it-IT"/>
        </w:rPr>
        <w:t>effetto di un moltiplicatore occupazionale di</w:t>
      </w:r>
      <w:r w:rsidR="001D5A0F">
        <w:rPr>
          <w:rFonts w:asciiTheme="minorHAnsi" w:hAnsiTheme="minorHAnsi" w:cstheme="minorHAnsi"/>
          <w:lang w:val="it-IT"/>
        </w:rPr>
        <w:t xml:space="preserve"> </w:t>
      </w:r>
      <w:r w:rsidR="001D5A0F" w:rsidRPr="001D5A0F">
        <w:rPr>
          <w:rFonts w:asciiTheme="minorHAnsi" w:hAnsiTheme="minorHAnsi" w:cstheme="minorHAnsi"/>
          <w:lang w:val="it-IT"/>
        </w:rPr>
        <w:t>4,7: per ogni persona direttamente impiegata,</w:t>
      </w:r>
      <w:r w:rsidR="001D5A0F">
        <w:rPr>
          <w:rFonts w:asciiTheme="minorHAnsi" w:hAnsiTheme="minorHAnsi" w:cstheme="minorHAnsi"/>
          <w:lang w:val="it-IT"/>
        </w:rPr>
        <w:t xml:space="preserve"> </w:t>
      </w:r>
      <w:r w:rsidR="001D5A0F" w:rsidRPr="001D5A0F">
        <w:rPr>
          <w:rFonts w:asciiTheme="minorHAnsi" w:hAnsiTheme="minorHAnsi" w:cstheme="minorHAnsi"/>
          <w:lang w:val="it-IT"/>
        </w:rPr>
        <w:t>l’attività dell’azienda sostiene 3,7 ulteriori posti</w:t>
      </w:r>
      <w:r w:rsidR="001D5A0F">
        <w:rPr>
          <w:rFonts w:asciiTheme="minorHAnsi" w:hAnsiTheme="minorHAnsi" w:cstheme="minorHAnsi"/>
          <w:lang w:val="it-IT"/>
        </w:rPr>
        <w:t xml:space="preserve"> </w:t>
      </w:r>
      <w:r w:rsidR="001D5A0F" w:rsidRPr="001D5A0F">
        <w:rPr>
          <w:rFonts w:asciiTheme="minorHAnsi" w:hAnsiTheme="minorHAnsi" w:cstheme="minorHAnsi"/>
          <w:lang w:val="it-IT"/>
        </w:rPr>
        <w:t>di lavoro nell’intera economia del Paese.</w:t>
      </w:r>
    </w:p>
    <w:p w14:paraId="3C6FBE9B" w14:textId="021479D9" w:rsidR="00111FD5" w:rsidRPr="00111FD5" w:rsidRDefault="00111FD5" w:rsidP="00E32747">
      <w:pPr>
        <w:jc w:val="both"/>
        <w:rPr>
          <w:rFonts w:cs="Calibri-Bold"/>
          <w:i/>
          <w:iCs/>
          <w:color w:val="1F497D"/>
          <w:sz w:val="28"/>
          <w:szCs w:val="28"/>
          <w:lang w:val="it-IT"/>
        </w:rPr>
      </w:pPr>
      <w:r w:rsidRPr="00111FD5">
        <w:rPr>
          <w:rFonts w:cs="Calibri-Bold"/>
          <w:i/>
          <w:iCs/>
          <w:color w:val="1F497D"/>
          <w:sz w:val="28"/>
          <w:szCs w:val="28"/>
          <w:lang w:val="it-IT"/>
        </w:rPr>
        <w:t>Gli investimenti e l’impatto sulle finanze pubbliche</w:t>
      </w:r>
    </w:p>
    <w:p w14:paraId="34286FE7" w14:textId="5E515F00" w:rsidR="00E32747" w:rsidRDefault="004D439C" w:rsidP="00E32747">
      <w:pPr>
        <w:jc w:val="both"/>
        <w:rPr>
          <w:rFonts w:asciiTheme="minorHAnsi" w:hAnsiTheme="minorHAnsi" w:cstheme="minorHAnsi"/>
          <w:lang w:val="it-IT"/>
        </w:rPr>
      </w:pPr>
      <w:r w:rsidRPr="00E32747">
        <w:rPr>
          <w:rFonts w:asciiTheme="minorHAnsi" w:hAnsiTheme="minorHAnsi" w:cstheme="minorHAnsi"/>
          <w:bCs/>
          <w:lang w:val="it-IT"/>
        </w:rPr>
        <w:t xml:space="preserve">Il percorso di costante crescita e consolidamento di Lidl Italia nell’ultimo decennio è stato sostenuto da </w:t>
      </w:r>
      <w:r w:rsidRPr="00E32747">
        <w:rPr>
          <w:rFonts w:asciiTheme="minorHAnsi" w:hAnsiTheme="minorHAnsi" w:cstheme="minorHAnsi"/>
          <w:b/>
          <w:lang w:val="it-IT"/>
        </w:rPr>
        <w:t>ingenti investimenti</w:t>
      </w:r>
      <w:r w:rsidR="00E32747" w:rsidRPr="00E32747">
        <w:rPr>
          <w:rFonts w:asciiTheme="minorHAnsi" w:hAnsiTheme="minorHAnsi" w:cstheme="minorHAnsi"/>
          <w:bCs/>
          <w:lang w:val="it-IT"/>
        </w:rPr>
        <w:t xml:space="preserve"> per l’apertura di nuovi punti vendita e centri logistici e l’ammodernamento e rinnovo degli esistenti</w:t>
      </w:r>
      <w:r w:rsidRPr="00E32747">
        <w:rPr>
          <w:rFonts w:asciiTheme="minorHAnsi" w:hAnsiTheme="minorHAnsi" w:cstheme="minorHAnsi"/>
          <w:bCs/>
          <w:lang w:val="it-IT"/>
        </w:rPr>
        <w:t xml:space="preserve"> che hanno raggiunto i €454 milioni nel 2022 e sono </w:t>
      </w:r>
      <w:r w:rsidRPr="00E32747">
        <w:rPr>
          <w:rFonts w:asciiTheme="minorHAnsi" w:hAnsiTheme="minorHAnsi" w:cstheme="minorHAnsi"/>
          <w:b/>
          <w:lang w:val="it-IT"/>
        </w:rPr>
        <w:t>cresciuti a un tasso medio annuo del +12,9% nell’ultimo decennio</w:t>
      </w:r>
      <w:r w:rsidRPr="00E32747">
        <w:rPr>
          <w:rFonts w:asciiTheme="minorHAnsi" w:hAnsiTheme="minorHAnsi" w:cstheme="minorHAnsi"/>
          <w:bCs/>
          <w:lang w:val="it-IT"/>
        </w:rPr>
        <w:t>, superiore rispetto alle top-10 aziende della GDO (+8,1%)</w:t>
      </w:r>
      <w:r w:rsidR="00E32747">
        <w:rPr>
          <w:rFonts w:asciiTheme="minorHAnsi" w:hAnsiTheme="minorHAnsi" w:cstheme="minorHAnsi"/>
          <w:bCs/>
          <w:lang w:val="it-IT"/>
        </w:rPr>
        <w:t xml:space="preserve">. </w:t>
      </w:r>
      <w:r w:rsidR="00A81A22">
        <w:rPr>
          <w:rFonts w:asciiTheme="minorHAnsi" w:hAnsiTheme="minorHAnsi" w:cstheme="minorHAnsi"/>
          <w:bCs/>
          <w:lang w:val="it-IT"/>
        </w:rPr>
        <w:t xml:space="preserve">Inoltre, l’Azienda </w:t>
      </w:r>
      <w:r w:rsidR="00E32747">
        <w:rPr>
          <w:rFonts w:asciiTheme="minorHAnsi" w:hAnsiTheme="minorHAnsi" w:cstheme="minorHAnsi"/>
          <w:bCs/>
          <w:lang w:val="it-IT"/>
        </w:rPr>
        <w:t>ha generato</w:t>
      </w:r>
      <w:r w:rsidR="00E32747" w:rsidRPr="00E32747">
        <w:rPr>
          <w:rFonts w:asciiTheme="minorHAnsi" w:hAnsiTheme="minorHAnsi" w:cstheme="minorHAnsi"/>
          <w:lang w:val="it-IT"/>
        </w:rPr>
        <w:t xml:space="preserve"> un </w:t>
      </w:r>
      <w:r w:rsidR="00E32747" w:rsidRPr="00E32747">
        <w:rPr>
          <w:rFonts w:asciiTheme="minorHAnsi" w:hAnsiTheme="minorHAnsi" w:cstheme="minorHAnsi"/>
          <w:b/>
          <w:bCs/>
          <w:lang w:val="it-IT"/>
        </w:rPr>
        <w:t>impatto fiscale cumulato di oltre</w:t>
      </w:r>
      <w:r w:rsidR="00E32747" w:rsidRPr="00E32747">
        <w:rPr>
          <w:rFonts w:asciiTheme="minorHAnsi" w:hAnsiTheme="minorHAnsi" w:cstheme="minorHAnsi"/>
          <w:lang w:val="it-IT"/>
        </w:rPr>
        <w:t xml:space="preserve"> </w:t>
      </w:r>
      <w:r w:rsidR="00E32747" w:rsidRPr="00E32747">
        <w:rPr>
          <w:rFonts w:asciiTheme="minorHAnsi" w:hAnsiTheme="minorHAnsi" w:cstheme="minorHAnsi"/>
          <w:b/>
          <w:bCs/>
          <w:lang w:val="it-IT"/>
        </w:rPr>
        <w:t>€4,2 miliardi</w:t>
      </w:r>
      <w:r w:rsidR="00E32747" w:rsidRPr="00E32747">
        <w:rPr>
          <w:rFonts w:asciiTheme="minorHAnsi" w:hAnsiTheme="minorHAnsi" w:cstheme="minorHAnsi"/>
          <w:lang w:val="it-IT"/>
        </w:rPr>
        <w:t>, un ammontare 2 volte</w:t>
      </w:r>
      <w:r w:rsidR="00E32747" w:rsidRPr="00E32747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E32747" w:rsidRPr="00E32747">
        <w:rPr>
          <w:rFonts w:asciiTheme="minorHAnsi" w:hAnsiTheme="minorHAnsi" w:cstheme="minorHAnsi"/>
          <w:lang w:val="it-IT"/>
        </w:rPr>
        <w:t>superiore a quanto previsto dal PNRR per i servizi digitali e la cittadinanza digitale.</w:t>
      </w:r>
    </w:p>
    <w:p w14:paraId="59E5646D" w14:textId="4A34AE53" w:rsidR="001D5A0F" w:rsidRDefault="007B37BB" w:rsidP="00E32747">
      <w:pPr>
        <w:jc w:val="both"/>
        <w:rPr>
          <w:rFonts w:asciiTheme="minorHAnsi" w:hAnsiTheme="minorHAnsi" w:cstheme="minorHAnsi"/>
          <w:lang w:val="it-IT"/>
        </w:rPr>
      </w:pPr>
      <w:r w:rsidRPr="007B37BB">
        <w:rPr>
          <w:rFonts w:asciiTheme="minorHAnsi" w:hAnsiTheme="minorHAnsi" w:cstheme="minorHAnsi"/>
          <w:i/>
          <w:iCs/>
          <w:lang w:val="it-IT"/>
        </w:rPr>
        <w:lastRenderedPageBreak/>
        <w:t>“</w:t>
      </w:r>
      <w:r>
        <w:rPr>
          <w:rFonts w:asciiTheme="minorHAnsi" w:hAnsiTheme="minorHAnsi" w:cstheme="minorHAnsi"/>
          <w:i/>
          <w:iCs/>
          <w:lang w:val="it-IT"/>
        </w:rPr>
        <w:t xml:space="preserve">In 32 anni di attività in Italia abbiamo sempre messo al centro le persone, la valorizzazione del </w:t>
      </w:r>
      <w:r w:rsidRPr="007B37BB">
        <w:rPr>
          <w:rFonts w:asciiTheme="minorHAnsi" w:hAnsiTheme="minorHAnsi" w:cstheme="minorHAnsi"/>
          <w:i/>
          <w:iCs/>
          <w:lang w:val="it-IT"/>
        </w:rPr>
        <w:t xml:space="preserve">territorio e </w:t>
      </w:r>
      <w:r>
        <w:rPr>
          <w:rFonts w:asciiTheme="minorHAnsi" w:hAnsiTheme="minorHAnsi" w:cstheme="minorHAnsi"/>
          <w:i/>
          <w:iCs/>
          <w:lang w:val="it-IT"/>
        </w:rPr>
        <w:t xml:space="preserve">lo sviluppo </w:t>
      </w:r>
      <w:r w:rsidR="002A0AA2">
        <w:rPr>
          <w:rFonts w:asciiTheme="minorHAnsi" w:hAnsiTheme="minorHAnsi" w:cstheme="minorHAnsi"/>
          <w:i/>
          <w:iCs/>
          <w:lang w:val="it-IT"/>
        </w:rPr>
        <w:t>della</w:t>
      </w:r>
      <w:r w:rsidRPr="007B37BB">
        <w:rPr>
          <w:rFonts w:asciiTheme="minorHAnsi" w:hAnsiTheme="minorHAnsi" w:cstheme="minorHAnsi"/>
          <w:i/>
          <w:iCs/>
          <w:lang w:val="it-IT"/>
        </w:rPr>
        <w:t xml:space="preserve"> filiera</w:t>
      </w:r>
      <w:r w:rsidR="002A0AA2">
        <w:rPr>
          <w:rFonts w:asciiTheme="minorHAnsi" w:hAnsiTheme="minorHAnsi" w:cstheme="minorHAnsi"/>
          <w:i/>
          <w:iCs/>
          <w:lang w:val="it-IT"/>
        </w:rPr>
        <w:t xml:space="preserve"> agroalimentare</w:t>
      </w:r>
      <w:r w:rsidRPr="007B37BB">
        <w:rPr>
          <w:rFonts w:asciiTheme="minorHAnsi" w:hAnsiTheme="minorHAnsi" w:cstheme="minorHAnsi"/>
          <w:i/>
          <w:iCs/>
          <w:lang w:val="it-IT"/>
        </w:rPr>
        <w:t xml:space="preserve">. </w:t>
      </w:r>
      <w:r w:rsidR="002A0AA2">
        <w:rPr>
          <w:rFonts w:asciiTheme="minorHAnsi" w:hAnsiTheme="minorHAnsi" w:cstheme="minorHAnsi"/>
          <w:i/>
          <w:iCs/>
          <w:lang w:val="it-IT"/>
        </w:rPr>
        <w:t>Solo n</w:t>
      </w:r>
      <w:r w:rsidRPr="007B37BB">
        <w:rPr>
          <w:rFonts w:asciiTheme="minorHAnsi" w:hAnsiTheme="minorHAnsi" w:cstheme="minorHAnsi"/>
          <w:i/>
          <w:iCs/>
          <w:lang w:val="it-IT"/>
        </w:rPr>
        <w:t>egli ultimi 5 anni</w:t>
      </w:r>
      <w:r w:rsidR="002A0AA2">
        <w:rPr>
          <w:rFonts w:asciiTheme="minorHAnsi" w:hAnsiTheme="minorHAnsi" w:cstheme="minorHAnsi"/>
          <w:i/>
          <w:iCs/>
          <w:lang w:val="it-IT"/>
        </w:rPr>
        <w:t>,</w:t>
      </w:r>
      <w:r w:rsidRPr="007B37BB">
        <w:rPr>
          <w:rFonts w:asciiTheme="minorHAnsi" w:hAnsiTheme="minorHAnsi" w:cstheme="minorHAnsi"/>
          <w:i/>
          <w:iCs/>
          <w:lang w:val="it-IT"/>
        </w:rPr>
        <w:t xml:space="preserve"> abbiamo investito oltre 2,1 miliardi di </w:t>
      </w:r>
      <w:proofErr w:type="gramStart"/>
      <w:r w:rsidR="005B24BC">
        <w:rPr>
          <w:rFonts w:asciiTheme="minorHAnsi" w:hAnsiTheme="minorHAnsi" w:cstheme="minorHAnsi"/>
          <w:i/>
          <w:iCs/>
          <w:lang w:val="it-IT"/>
        </w:rPr>
        <w:t>E</w:t>
      </w:r>
      <w:r w:rsidR="005B24BC" w:rsidRPr="007B37BB">
        <w:rPr>
          <w:rFonts w:asciiTheme="minorHAnsi" w:hAnsiTheme="minorHAnsi" w:cstheme="minorHAnsi"/>
          <w:i/>
          <w:iCs/>
          <w:lang w:val="it-IT"/>
        </w:rPr>
        <w:t>uro</w:t>
      </w:r>
      <w:proofErr w:type="gramEnd"/>
      <w:r w:rsidRPr="007B37BB">
        <w:rPr>
          <w:rFonts w:asciiTheme="minorHAnsi" w:hAnsiTheme="minorHAnsi" w:cstheme="minorHAnsi"/>
          <w:i/>
          <w:iCs/>
          <w:lang w:val="it-IT"/>
        </w:rPr>
        <w:t xml:space="preserve"> </w:t>
      </w:r>
      <w:r>
        <w:rPr>
          <w:rFonts w:asciiTheme="minorHAnsi" w:hAnsiTheme="minorHAnsi" w:cstheme="minorHAnsi"/>
          <w:i/>
          <w:iCs/>
          <w:lang w:val="it-IT"/>
        </w:rPr>
        <w:t>nella</w:t>
      </w:r>
      <w:r w:rsidRPr="007B37BB">
        <w:rPr>
          <w:rFonts w:asciiTheme="minorHAnsi" w:hAnsiTheme="minorHAnsi" w:cstheme="minorHAnsi"/>
          <w:i/>
          <w:iCs/>
          <w:lang w:val="it-IT"/>
        </w:rPr>
        <w:t xml:space="preserve"> nostra rete immobiliare e nei prossimi 3 anni effettueremo investimenti per </w:t>
      </w:r>
      <w:r>
        <w:rPr>
          <w:rFonts w:asciiTheme="minorHAnsi" w:hAnsiTheme="minorHAnsi" w:cstheme="minorHAnsi"/>
          <w:i/>
          <w:iCs/>
          <w:lang w:val="it-IT"/>
        </w:rPr>
        <w:t>ulteriori</w:t>
      </w:r>
      <w:r w:rsidRPr="007B37BB">
        <w:rPr>
          <w:rFonts w:asciiTheme="minorHAnsi" w:hAnsiTheme="minorHAnsi" w:cstheme="minorHAnsi"/>
          <w:i/>
          <w:iCs/>
          <w:lang w:val="it-IT"/>
        </w:rPr>
        <w:t xml:space="preserve"> 1,5 miliardi di </w:t>
      </w:r>
      <w:r w:rsidR="002A0AA2">
        <w:rPr>
          <w:rFonts w:asciiTheme="minorHAnsi" w:hAnsiTheme="minorHAnsi" w:cstheme="minorHAnsi"/>
          <w:i/>
          <w:iCs/>
          <w:lang w:val="it-IT"/>
        </w:rPr>
        <w:t>E</w:t>
      </w:r>
      <w:r w:rsidRPr="007B37BB">
        <w:rPr>
          <w:rFonts w:asciiTheme="minorHAnsi" w:hAnsiTheme="minorHAnsi" w:cstheme="minorHAnsi"/>
          <w:i/>
          <w:iCs/>
          <w:lang w:val="it-IT"/>
        </w:rPr>
        <w:t>uro</w:t>
      </w:r>
      <w:r>
        <w:rPr>
          <w:rFonts w:asciiTheme="minorHAnsi" w:hAnsiTheme="minorHAnsi" w:cstheme="minorHAnsi"/>
          <w:i/>
          <w:iCs/>
          <w:lang w:val="it-IT"/>
        </w:rPr>
        <w:t xml:space="preserve"> che si trasformeranno nell’apertura di 150 nuovi punti vendita</w:t>
      </w:r>
      <w:r w:rsidR="002A0AA2">
        <w:rPr>
          <w:rFonts w:asciiTheme="minorHAnsi" w:hAnsiTheme="minorHAnsi" w:cstheme="minorHAnsi"/>
          <w:i/>
          <w:iCs/>
          <w:lang w:val="it-IT"/>
        </w:rPr>
        <w:t xml:space="preserve"> e, conseguentemente, nella creazione di </w:t>
      </w:r>
      <w:r w:rsidR="00736098">
        <w:rPr>
          <w:rFonts w:asciiTheme="minorHAnsi" w:hAnsiTheme="minorHAnsi" w:cstheme="minorHAnsi"/>
          <w:i/>
          <w:iCs/>
          <w:lang w:val="it-IT"/>
        </w:rPr>
        <w:t xml:space="preserve">oltre </w:t>
      </w:r>
      <w:r w:rsidR="002A0AA2">
        <w:rPr>
          <w:rFonts w:asciiTheme="minorHAnsi" w:hAnsiTheme="minorHAnsi" w:cstheme="minorHAnsi"/>
          <w:i/>
          <w:iCs/>
          <w:lang w:val="it-IT"/>
        </w:rPr>
        <w:t>5.000 nuovi posti di lavoro diretti</w:t>
      </w:r>
      <w:r w:rsidRPr="007B37BB">
        <w:rPr>
          <w:rFonts w:asciiTheme="minorHAnsi" w:hAnsiTheme="minorHAnsi" w:cstheme="minorHAnsi"/>
          <w:i/>
          <w:iCs/>
          <w:lang w:val="it-IT"/>
        </w:rPr>
        <w:t>.</w:t>
      </w:r>
      <w:r w:rsidR="00736098">
        <w:rPr>
          <w:rFonts w:asciiTheme="minorHAnsi" w:hAnsiTheme="minorHAnsi" w:cstheme="minorHAnsi"/>
          <w:i/>
          <w:iCs/>
          <w:lang w:val="it-IT"/>
        </w:rPr>
        <w:t>”</w:t>
      </w:r>
      <w:r>
        <w:rPr>
          <w:rFonts w:asciiTheme="minorHAnsi" w:hAnsiTheme="minorHAnsi" w:cstheme="minorHAnsi"/>
          <w:lang w:val="it-IT"/>
        </w:rPr>
        <w:t xml:space="preserve"> – dichiara </w:t>
      </w:r>
      <w:r w:rsidRPr="007B37BB">
        <w:rPr>
          <w:rFonts w:asciiTheme="minorHAnsi" w:hAnsiTheme="minorHAnsi" w:cstheme="minorHAnsi"/>
          <w:b/>
          <w:bCs/>
          <w:lang w:val="it-IT"/>
        </w:rPr>
        <w:t>Massimiliano Silvestri</w:t>
      </w:r>
      <w:r w:rsidRPr="002667ED">
        <w:rPr>
          <w:rFonts w:asciiTheme="minorHAnsi" w:hAnsiTheme="minorHAnsi" w:cstheme="minorHAnsi"/>
          <w:lang w:val="it-IT"/>
        </w:rPr>
        <w:t>,</w:t>
      </w:r>
      <w:r w:rsidRPr="007B37BB">
        <w:rPr>
          <w:rFonts w:asciiTheme="minorHAnsi" w:hAnsiTheme="minorHAnsi" w:cstheme="minorHAnsi"/>
          <w:b/>
          <w:bCs/>
          <w:lang w:val="it-IT"/>
        </w:rPr>
        <w:t xml:space="preserve"> Presidente Lidl Italia</w:t>
      </w:r>
      <w:r w:rsidR="00736098">
        <w:rPr>
          <w:rFonts w:asciiTheme="minorHAnsi" w:hAnsiTheme="minorHAnsi" w:cstheme="minorHAnsi"/>
          <w:b/>
          <w:bCs/>
          <w:lang w:val="it-IT"/>
        </w:rPr>
        <w:t>.</w:t>
      </w:r>
    </w:p>
    <w:p w14:paraId="407CAEA1" w14:textId="77777777" w:rsidR="00111FD5" w:rsidRDefault="00111FD5" w:rsidP="00111FD5">
      <w:pPr>
        <w:jc w:val="both"/>
        <w:rPr>
          <w:rFonts w:cs="Calibri-Bold"/>
          <w:i/>
          <w:iCs/>
          <w:color w:val="1F497D"/>
          <w:sz w:val="28"/>
          <w:szCs w:val="28"/>
          <w:lang w:val="it-IT"/>
        </w:rPr>
      </w:pPr>
      <w:bookmarkStart w:id="2" w:name="_Hlk165890414"/>
      <w:r>
        <w:rPr>
          <w:rFonts w:cs="Calibri-Bold"/>
          <w:i/>
          <w:iCs/>
          <w:color w:val="1F497D"/>
          <w:sz w:val="28"/>
          <w:szCs w:val="28"/>
          <w:lang w:val="it-IT"/>
        </w:rPr>
        <w:t>L</w:t>
      </w:r>
      <w:r w:rsidRPr="00111FD5">
        <w:rPr>
          <w:rFonts w:cs="Calibri-Bold"/>
          <w:i/>
          <w:iCs/>
          <w:color w:val="1F497D"/>
          <w:sz w:val="28"/>
          <w:szCs w:val="28"/>
          <w:lang w:val="it-IT"/>
        </w:rPr>
        <w:t xml:space="preserve">o sviluppo della filiera di fornitura </w:t>
      </w:r>
      <w:r>
        <w:rPr>
          <w:rFonts w:cs="Calibri-Bold"/>
          <w:i/>
          <w:iCs/>
          <w:color w:val="1F497D"/>
          <w:sz w:val="28"/>
          <w:szCs w:val="28"/>
          <w:lang w:val="it-IT"/>
        </w:rPr>
        <w:t>e l’export</w:t>
      </w:r>
    </w:p>
    <w:p w14:paraId="14109423" w14:textId="19E15E34" w:rsidR="004A7E11" w:rsidRPr="003A03AA" w:rsidRDefault="00111FD5" w:rsidP="003A03AA">
      <w:pPr>
        <w:jc w:val="both"/>
        <w:rPr>
          <w:rFonts w:ascii="Source Sans Pro" w:hAnsi="Source Sans Pro"/>
          <w:lang w:val="it-IT" w:bidi="it-IT"/>
        </w:rPr>
      </w:pPr>
      <w:r w:rsidRPr="00111FD5">
        <w:rPr>
          <w:rFonts w:asciiTheme="minorHAnsi" w:hAnsiTheme="minorHAnsi" w:cstheme="minorHAnsi"/>
          <w:lang w:val="it-IT"/>
        </w:rPr>
        <w:t xml:space="preserve">Lidl intrattiene </w:t>
      </w:r>
      <w:r w:rsidRPr="00111FD5">
        <w:rPr>
          <w:rFonts w:asciiTheme="minorHAnsi" w:hAnsiTheme="minorHAnsi" w:cstheme="minorHAnsi"/>
          <w:b/>
          <w:bCs/>
          <w:lang w:val="it-IT"/>
        </w:rPr>
        <w:t xml:space="preserve">rapporti di fornitura con centinaia di aziende </w:t>
      </w:r>
      <w:r w:rsidR="00A1122A" w:rsidRPr="00111FD5">
        <w:rPr>
          <w:rFonts w:asciiTheme="minorHAnsi" w:hAnsiTheme="minorHAnsi" w:cstheme="minorHAnsi"/>
          <w:b/>
          <w:bCs/>
          <w:lang w:val="it-IT"/>
        </w:rPr>
        <w:t>italiane</w:t>
      </w:r>
      <w:r w:rsidR="00A1122A">
        <w:rPr>
          <w:rFonts w:asciiTheme="minorHAnsi" w:hAnsiTheme="minorHAnsi" w:cstheme="minorHAnsi"/>
          <w:lang w:val="it-IT"/>
        </w:rPr>
        <w:t>.</w:t>
      </w:r>
      <w:r w:rsidRPr="00111FD5">
        <w:rPr>
          <w:rFonts w:asciiTheme="minorHAnsi" w:hAnsiTheme="minorHAnsi" w:cstheme="minorHAnsi"/>
          <w:lang w:val="it-IT"/>
        </w:rPr>
        <w:t xml:space="preserve">  </w:t>
      </w:r>
      <w:r w:rsidRPr="00140B70">
        <w:rPr>
          <w:rFonts w:asciiTheme="minorHAnsi" w:hAnsiTheme="minorHAnsi" w:cstheme="minorHAnsi"/>
          <w:lang w:val="it-IT"/>
        </w:rPr>
        <w:t xml:space="preserve">Nel 2022 il totale delle forniture di beni e servizi acquistati in Italia da Lidl ammonta a </w:t>
      </w:r>
      <w:r w:rsidRPr="00140B70">
        <w:rPr>
          <w:rFonts w:asciiTheme="minorHAnsi" w:hAnsiTheme="minorHAnsi" w:cstheme="minorHAnsi"/>
          <w:b/>
          <w:lang w:val="it-IT"/>
        </w:rPr>
        <w:t>€6,2 miliardi</w:t>
      </w:r>
      <w:r w:rsidRPr="002667ED">
        <w:rPr>
          <w:rFonts w:asciiTheme="minorHAnsi" w:hAnsiTheme="minorHAnsi" w:cstheme="minorHAnsi"/>
          <w:bCs/>
          <w:lang w:val="it-IT"/>
        </w:rPr>
        <w:t>,</w:t>
      </w:r>
      <w:r w:rsidRPr="00140B70">
        <w:rPr>
          <w:rFonts w:asciiTheme="minorHAnsi" w:hAnsiTheme="minorHAnsi" w:cstheme="minorHAnsi"/>
          <w:b/>
          <w:lang w:val="it-IT"/>
        </w:rPr>
        <w:t xml:space="preserve"> </w:t>
      </w:r>
      <w:r w:rsidR="003A03AA">
        <w:rPr>
          <w:rFonts w:asciiTheme="minorHAnsi" w:hAnsiTheme="minorHAnsi" w:cstheme="minorHAnsi"/>
          <w:lang w:val="it-IT"/>
        </w:rPr>
        <w:t>concentrati</w:t>
      </w:r>
      <w:r w:rsidRPr="00140B70">
        <w:rPr>
          <w:rFonts w:asciiTheme="minorHAnsi" w:hAnsiTheme="minorHAnsi" w:cstheme="minorHAnsi"/>
          <w:lang w:val="it-IT"/>
        </w:rPr>
        <w:t xml:space="preserve"> soprattutto nel </w:t>
      </w:r>
      <w:r w:rsidRPr="00140B70">
        <w:rPr>
          <w:rFonts w:asciiTheme="minorHAnsi" w:hAnsiTheme="minorHAnsi" w:cstheme="minorHAnsi"/>
          <w:b/>
          <w:bCs/>
          <w:lang w:val="it-IT"/>
        </w:rPr>
        <w:t>comparto della produzione agroalimentare</w:t>
      </w:r>
      <w:r w:rsidR="002667ED" w:rsidRPr="002667ED">
        <w:rPr>
          <w:rFonts w:asciiTheme="minorHAnsi" w:hAnsiTheme="minorHAnsi" w:cstheme="minorHAnsi"/>
          <w:lang w:val="it-IT"/>
        </w:rPr>
        <w:t>,</w:t>
      </w:r>
      <w:r w:rsidRPr="00140B70">
        <w:rPr>
          <w:rFonts w:asciiTheme="minorHAnsi" w:hAnsiTheme="minorHAnsi" w:cstheme="minorHAnsi"/>
          <w:lang w:val="it-IT"/>
        </w:rPr>
        <w:t xml:space="preserve"> </w:t>
      </w:r>
      <w:r w:rsidR="003A03AA">
        <w:rPr>
          <w:rFonts w:asciiTheme="minorHAnsi" w:hAnsiTheme="minorHAnsi" w:cstheme="minorHAnsi"/>
          <w:lang w:val="it-IT"/>
        </w:rPr>
        <w:t>che si configura come</w:t>
      </w:r>
      <w:r w:rsidR="00140B70" w:rsidRPr="003A03AA">
        <w:rPr>
          <w:rFonts w:asciiTheme="minorHAnsi" w:hAnsiTheme="minorHAnsi" w:cstheme="minorHAnsi"/>
          <w:lang w:val="it-IT" w:bidi="it-IT"/>
        </w:rPr>
        <w:t xml:space="preserve"> un forte </w:t>
      </w:r>
      <w:r w:rsidR="00140B70" w:rsidRPr="003A03AA">
        <w:rPr>
          <w:rFonts w:asciiTheme="minorHAnsi" w:hAnsiTheme="minorHAnsi" w:cstheme="minorHAnsi"/>
          <w:b/>
          <w:bCs/>
          <w:lang w:val="it-IT" w:bidi="it-IT"/>
        </w:rPr>
        <w:t xml:space="preserve">traino alle esportazioni di prodotti alimentari </w:t>
      </w:r>
      <w:r w:rsidR="00140B70" w:rsidRPr="003A03AA">
        <w:rPr>
          <w:rFonts w:asciiTheme="minorHAnsi" w:hAnsiTheme="minorHAnsi" w:cstheme="minorHAnsi"/>
          <w:lang w:val="it-IT" w:bidi="it-IT"/>
        </w:rPr>
        <w:t xml:space="preserve">grazie agli acquisti realizzati per il rifornimento degli scaffali di punti vendita </w:t>
      </w:r>
      <w:r w:rsidR="003A03AA">
        <w:rPr>
          <w:rFonts w:asciiTheme="minorHAnsi" w:hAnsiTheme="minorHAnsi" w:cstheme="minorHAnsi"/>
          <w:lang w:val="it-IT" w:bidi="it-IT"/>
        </w:rPr>
        <w:t xml:space="preserve">dell’Insegna </w:t>
      </w:r>
      <w:r w:rsidR="00140B70" w:rsidRPr="003A03AA">
        <w:rPr>
          <w:rFonts w:asciiTheme="minorHAnsi" w:hAnsiTheme="minorHAnsi" w:cstheme="minorHAnsi"/>
          <w:lang w:val="it-IT" w:bidi="it-IT"/>
        </w:rPr>
        <w:t xml:space="preserve">all’estero. Nel 2022, tali acquisti hanno rappresentato </w:t>
      </w:r>
      <w:r w:rsidR="00140B70" w:rsidRPr="003A03AA">
        <w:rPr>
          <w:rFonts w:asciiTheme="minorHAnsi" w:hAnsiTheme="minorHAnsi" w:cstheme="minorHAnsi"/>
          <w:b/>
          <w:bCs/>
          <w:lang w:val="it-IT" w:bidi="it-IT"/>
        </w:rPr>
        <w:t>esportazioni dall’Italia per circa</w:t>
      </w:r>
      <w:r w:rsidR="00140B70" w:rsidRPr="003A03AA">
        <w:rPr>
          <w:rFonts w:asciiTheme="minorHAnsi" w:hAnsiTheme="minorHAnsi" w:cstheme="minorHAnsi"/>
          <w:lang w:val="it-IT" w:bidi="it-IT"/>
        </w:rPr>
        <w:t xml:space="preserve"> </w:t>
      </w:r>
      <w:r w:rsidR="00140B70" w:rsidRPr="003A03AA">
        <w:rPr>
          <w:rFonts w:asciiTheme="minorHAnsi" w:hAnsiTheme="minorHAnsi" w:cstheme="minorHAnsi"/>
          <w:b/>
          <w:bCs/>
          <w:lang w:val="it-IT" w:bidi="it-IT"/>
        </w:rPr>
        <w:t xml:space="preserve">€2,4 miliardi </w:t>
      </w:r>
      <w:r w:rsidR="00140B70" w:rsidRPr="003A03AA">
        <w:rPr>
          <w:rFonts w:asciiTheme="minorHAnsi" w:hAnsiTheme="minorHAnsi" w:cstheme="minorHAnsi"/>
          <w:lang w:val="it-IT" w:bidi="it-IT"/>
        </w:rPr>
        <w:t xml:space="preserve">(pari al 4,5% di tutto l’export </w:t>
      </w:r>
      <w:r w:rsidR="005B24BC">
        <w:rPr>
          <w:rFonts w:asciiTheme="minorHAnsi" w:hAnsiTheme="minorHAnsi" w:cstheme="minorHAnsi"/>
          <w:lang w:val="it-IT" w:bidi="it-IT"/>
        </w:rPr>
        <w:t>f</w:t>
      </w:r>
      <w:r w:rsidR="00140B70" w:rsidRPr="003A03AA">
        <w:rPr>
          <w:rFonts w:asciiTheme="minorHAnsi" w:hAnsiTheme="minorHAnsi" w:cstheme="minorHAnsi"/>
          <w:lang w:val="it-IT" w:bidi="it-IT"/>
        </w:rPr>
        <w:t>ood</w:t>
      </w:r>
      <w:r w:rsidR="005B24BC">
        <w:rPr>
          <w:rFonts w:asciiTheme="minorHAnsi" w:hAnsiTheme="minorHAnsi" w:cstheme="minorHAnsi"/>
          <w:lang w:val="it-IT" w:bidi="it-IT"/>
        </w:rPr>
        <w:t xml:space="preserve"> </w:t>
      </w:r>
      <w:r w:rsidR="00140B70" w:rsidRPr="003A03AA">
        <w:rPr>
          <w:rFonts w:asciiTheme="minorHAnsi" w:hAnsiTheme="minorHAnsi" w:cstheme="minorHAnsi"/>
          <w:lang w:val="it-IT" w:bidi="it-IT"/>
        </w:rPr>
        <w:t>&amp;</w:t>
      </w:r>
      <w:r w:rsidR="005B24BC">
        <w:rPr>
          <w:rFonts w:asciiTheme="minorHAnsi" w:hAnsiTheme="minorHAnsi" w:cstheme="minorHAnsi"/>
          <w:lang w:val="it-IT" w:bidi="it-IT"/>
        </w:rPr>
        <w:t xml:space="preserve"> b</w:t>
      </w:r>
      <w:r w:rsidR="00140B70" w:rsidRPr="003A03AA">
        <w:rPr>
          <w:rFonts w:asciiTheme="minorHAnsi" w:hAnsiTheme="minorHAnsi" w:cstheme="minorHAnsi"/>
          <w:lang w:val="it-IT" w:bidi="it-IT"/>
        </w:rPr>
        <w:t xml:space="preserve">everage italiano), </w:t>
      </w:r>
      <w:r w:rsidR="00935FFA">
        <w:rPr>
          <w:rFonts w:asciiTheme="minorHAnsi" w:hAnsiTheme="minorHAnsi" w:cstheme="minorHAnsi"/>
          <w:lang w:val="it-IT" w:bidi="it-IT"/>
        </w:rPr>
        <w:t>di cui</w:t>
      </w:r>
      <w:r w:rsidR="00140B70" w:rsidRPr="003A03AA">
        <w:rPr>
          <w:rFonts w:asciiTheme="minorHAnsi" w:hAnsiTheme="minorHAnsi" w:cstheme="minorHAnsi"/>
          <w:lang w:val="it-IT" w:bidi="it-IT"/>
        </w:rPr>
        <w:t xml:space="preserve"> il 24% è rappresentato da </w:t>
      </w:r>
      <w:r w:rsidR="00140B70" w:rsidRPr="003A03AA">
        <w:rPr>
          <w:rFonts w:asciiTheme="minorHAnsi" w:hAnsiTheme="minorHAnsi" w:cstheme="minorHAnsi"/>
          <w:b/>
          <w:bCs/>
          <w:lang w:val="it-IT" w:bidi="it-IT"/>
        </w:rPr>
        <w:t>frutta e verdura</w:t>
      </w:r>
      <w:r w:rsidR="00140B70" w:rsidRPr="003A03AA">
        <w:rPr>
          <w:rFonts w:asciiTheme="minorHAnsi" w:hAnsiTheme="minorHAnsi" w:cstheme="minorHAnsi"/>
          <w:lang w:val="it-IT" w:bidi="it-IT"/>
        </w:rPr>
        <w:t xml:space="preserve"> (il 13% delle esportazioni totali del Paese). </w:t>
      </w:r>
      <w:bookmarkEnd w:id="2"/>
    </w:p>
    <w:bookmarkEnd w:id="0"/>
    <w:p w14:paraId="203697DF" w14:textId="75E7A63D" w:rsidR="00935FFA" w:rsidRPr="00F3023D" w:rsidRDefault="0022358F" w:rsidP="00935FFA">
      <w:pPr>
        <w:jc w:val="both"/>
        <w:rPr>
          <w:rFonts w:asciiTheme="minorHAnsi" w:hAnsiTheme="minorHAnsi" w:cstheme="minorHAnsi"/>
          <w:lang w:val="it-IT" w:bidi="it-IT"/>
        </w:rPr>
      </w:pPr>
      <w:r w:rsidRPr="00F631FD">
        <w:rPr>
          <w:rFonts w:asciiTheme="minorHAnsi" w:hAnsiTheme="minorHAnsi" w:cstheme="minorHAnsi"/>
          <w:noProof/>
          <w:lang w:val="it-IT"/>
        </w:rPr>
        <w:t>Gli</w:t>
      </w:r>
      <w:r w:rsidRPr="00F631FD">
        <w:rPr>
          <w:rFonts w:asciiTheme="minorHAnsi" w:hAnsiTheme="minorHAnsi" w:cstheme="minorHAnsi"/>
          <w:lang w:val="it-IT" w:bidi="it-IT"/>
        </w:rPr>
        <w:t xml:space="preserve"> acquisti realizzati da Lidl verso i fornitori italiani attivano a cascata molteplici filiere economiche nel Paese, per effetto </w:t>
      </w:r>
      <w:r w:rsidRPr="00F631FD" w:rsidDel="00B37DB5">
        <w:rPr>
          <w:rFonts w:asciiTheme="minorHAnsi" w:hAnsiTheme="minorHAnsi" w:cstheme="minorHAnsi"/>
          <w:lang w:val="it-IT" w:bidi="it-IT"/>
        </w:rPr>
        <w:t>delle</w:t>
      </w:r>
      <w:r w:rsidRPr="00F631FD">
        <w:rPr>
          <w:rFonts w:asciiTheme="minorHAnsi" w:hAnsiTheme="minorHAnsi" w:cstheme="minorHAnsi"/>
          <w:lang w:val="it-IT" w:bidi="it-IT"/>
        </w:rPr>
        <w:t xml:space="preserve"> </w:t>
      </w:r>
      <w:r w:rsidRPr="00F631FD">
        <w:rPr>
          <w:rFonts w:asciiTheme="minorHAnsi" w:hAnsiTheme="minorHAnsi" w:cstheme="minorHAnsi"/>
          <w:b/>
          <w:bCs/>
          <w:lang w:val="it-IT" w:bidi="it-IT"/>
        </w:rPr>
        <w:t>interdipendenze che si generano tra i settori</w:t>
      </w:r>
      <w:r w:rsidRPr="00F631FD">
        <w:rPr>
          <w:rFonts w:asciiTheme="minorHAnsi" w:hAnsiTheme="minorHAnsi" w:cstheme="minorHAnsi"/>
          <w:lang w:val="it-IT" w:bidi="it-IT"/>
        </w:rPr>
        <w:t xml:space="preserve">. </w:t>
      </w:r>
      <w:r w:rsidR="001D5A0F" w:rsidRPr="00F631FD">
        <w:rPr>
          <w:rFonts w:asciiTheme="minorHAnsi" w:hAnsiTheme="minorHAnsi" w:cstheme="minorHAnsi"/>
          <w:lang w:val="it-IT" w:bidi="it-IT"/>
        </w:rPr>
        <w:t>È</w:t>
      </w:r>
      <w:r w:rsidRPr="00F631FD">
        <w:rPr>
          <w:rFonts w:asciiTheme="minorHAnsi" w:hAnsiTheme="minorHAnsi" w:cstheme="minorHAnsi"/>
          <w:lang w:val="it-IT" w:bidi="it-IT"/>
        </w:rPr>
        <w:t xml:space="preserve"> per questo </w:t>
      </w:r>
      <w:r w:rsidR="00F631FD" w:rsidRPr="00F631FD">
        <w:rPr>
          <w:rFonts w:asciiTheme="minorHAnsi" w:hAnsiTheme="minorHAnsi" w:cstheme="minorHAnsi"/>
          <w:lang w:val="it-IT" w:bidi="it-IT"/>
        </w:rPr>
        <w:t xml:space="preserve">che il </w:t>
      </w:r>
      <w:r w:rsidRPr="00F631FD">
        <w:rPr>
          <w:rFonts w:asciiTheme="minorHAnsi" w:hAnsiTheme="minorHAnsi" w:cstheme="minorHAnsi"/>
          <w:b/>
          <w:bCs/>
          <w:lang w:val="it-IT" w:bidi="it-IT"/>
        </w:rPr>
        <w:t xml:space="preserve">Valore Aggiunto totale </w:t>
      </w:r>
      <w:r w:rsidRPr="00F631FD">
        <w:rPr>
          <w:rFonts w:asciiTheme="minorHAnsi" w:hAnsiTheme="minorHAnsi" w:cstheme="minorHAnsi"/>
          <w:lang w:val="it-IT" w:bidi="it-IT"/>
        </w:rPr>
        <w:t>(somma di diretto, indiretto e indotto)</w:t>
      </w:r>
      <w:r w:rsidRPr="00F631FD">
        <w:rPr>
          <w:rFonts w:asciiTheme="minorHAnsi" w:hAnsiTheme="minorHAnsi" w:cstheme="minorHAnsi"/>
          <w:b/>
          <w:bCs/>
          <w:lang w:val="it-IT" w:bidi="it-IT"/>
        </w:rPr>
        <w:t xml:space="preserve"> </w:t>
      </w:r>
      <w:r w:rsidR="00F631FD" w:rsidRPr="00F631FD">
        <w:rPr>
          <w:rFonts w:asciiTheme="minorHAnsi" w:hAnsiTheme="minorHAnsi" w:cstheme="minorHAnsi"/>
          <w:b/>
          <w:bCs/>
          <w:lang w:val="it-IT" w:bidi="it-IT"/>
        </w:rPr>
        <w:t xml:space="preserve">prodotto da Lidl Italia è </w:t>
      </w:r>
      <w:r w:rsidRPr="00F631FD">
        <w:rPr>
          <w:rFonts w:asciiTheme="minorHAnsi" w:hAnsiTheme="minorHAnsi" w:cstheme="minorHAnsi"/>
          <w:b/>
          <w:bCs/>
          <w:lang w:val="it-IT" w:bidi="it-IT"/>
        </w:rPr>
        <w:t>pari a</w:t>
      </w:r>
      <w:r w:rsidRPr="00F631FD">
        <w:rPr>
          <w:rFonts w:asciiTheme="minorHAnsi" w:hAnsiTheme="minorHAnsi" w:cstheme="minorHAnsi"/>
          <w:lang w:val="it-IT" w:bidi="it-IT"/>
        </w:rPr>
        <w:t xml:space="preserve"> </w:t>
      </w:r>
      <w:r w:rsidRPr="00F631FD">
        <w:rPr>
          <w:rFonts w:asciiTheme="minorHAnsi" w:hAnsiTheme="minorHAnsi" w:cstheme="minorHAnsi"/>
          <w:b/>
          <w:bCs/>
          <w:lang w:val="it-IT" w:bidi="it-IT"/>
        </w:rPr>
        <w:t>€6,4 miliardi</w:t>
      </w:r>
      <w:r w:rsidRPr="00F631FD">
        <w:rPr>
          <w:rFonts w:asciiTheme="minorHAnsi" w:hAnsiTheme="minorHAnsi" w:cstheme="minorHAnsi"/>
          <w:lang w:val="it-IT" w:bidi="it-IT"/>
        </w:rPr>
        <w:t xml:space="preserve">, con un </w:t>
      </w:r>
      <w:r w:rsidRPr="00F631FD">
        <w:rPr>
          <w:rFonts w:asciiTheme="minorHAnsi" w:hAnsiTheme="minorHAnsi" w:cstheme="minorHAnsi"/>
          <w:b/>
          <w:bCs/>
          <w:lang w:val="it-IT" w:bidi="it-IT"/>
        </w:rPr>
        <w:t>moltiplicatore economico</w:t>
      </w:r>
      <w:r w:rsidRPr="00F631FD">
        <w:rPr>
          <w:rFonts w:asciiTheme="minorHAnsi" w:hAnsiTheme="minorHAnsi" w:cstheme="minorHAnsi"/>
          <w:lang w:val="it-IT" w:bidi="it-IT"/>
        </w:rPr>
        <w:t xml:space="preserve"> pari a </w:t>
      </w:r>
      <w:r w:rsidRPr="00F631FD">
        <w:rPr>
          <w:rFonts w:asciiTheme="minorHAnsi" w:hAnsiTheme="minorHAnsi" w:cstheme="minorHAnsi"/>
          <w:b/>
          <w:bCs/>
          <w:lang w:val="it-IT" w:bidi="it-IT"/>
        </w:rPr>
        <w:t>5,4</w:t>
      </w:r>
      <w:r w:rsidR="00F631FD" w:rsidRPr="00F631FD">
        <w:rPr>
          <w:rFonts w:asciiTheme="minorHAnsi" w:hAnsiTheme="minorHAnsi" w:cstheme="minorHAnsi"/>
          <w:lang w:val="it-IT" w:bidi="it-IT"/>
        </w:rPr>
        <w:t>. P</w:t>
      </w:r>
      <w:r w:rsidRPr="00F631FD">
        <w:rPr>
          <w:rFonts w:asciiTheme="minorHAnsi" w:hAnsiTheme="minorHAnsi" w:cstheme="minorHAnsi"/>
          <w:lang w:val="it-IT" w:bidi="it-IT"/>
        </w:rPr>
        <w:t xml:space="preserve">er ogni </w:t>
      </w:r>
      <w:proofErr w:type="gramStart"/>
      <w:r w:rsidRPr="00F631FD">
        <w:rPr>
          <w:rFonts w:asciiTheme="minorHAnsi" w:hAnsiTheme="minorHAnsi" w:cstheme="minorHAnsi"/>
          <w:lang w:val="it-IT" w:bidi="it-IT"/>
        </w:rPr>
        <w:t>Euro</w:t>
      </w:r>
      <w:proofErr w:type="gramEnd"/>
      <w:r w:rsidRPr="00F631FD">
        <w:rPr>
          <w:rFonts w:asciiTheme="minorHAnsi" w:hAnsiTheme="minorHAnsi" w:cstheme="minorHAnsi"/>
          <w:lang w:val="it-IT" w:bidi="it-IT"/>
        </w:rPr>
        <w:t xml:space="preserve"> di Valore Aggiunto generato direttamente da Lidl nel 2022, se ne sono attivati </w:t>
      </w:r>
      <w:r w:rsidRPr="00F631FD">
        <w:rPr>
          <w:rFonts w:asciiTheme="minorHAnsi" w:hAnsiTheme="minorHAnsi" w:cstheme="minorHAnsi"/>
          <w:b/>
          <w:bCs/>
          <w:lang w:val="it-IT" w:bidi="it-IT"/>
        </w:rPr>
        <w:t>€4,4</w:t>
      </w:r>
      <w:r w:rsidRPr="00F631FD">
        <w:rPr>
          <w:rFonts w:asciiTheme="minorHAnsi" w:hAnsiTheme="minorHAnsi" w:cstheme="minorHAnsi"/>
          <w:lang w:val="it-IT" w:bidi="it-IT"/>
        </w:rPr>
        <w:t xml:space="preserve"> </w:t>
      </w:r>
      <w:r w:rsidRPr="00F631FD">
        <w:rPr>
          <w:rFonts w:asciiTheme="minorHAnsi" w:hAnsiTheme="minorHAnsi" w:cstheme="minorHAnsi"/>
          <w:b/>
          <w:bCs/>
          <w:lang w:val="it-IT" w:bidi="it-IT"/>
        </w:rPr>
        <w:t>aggiuntivi</w:t>
      </w:r>
      <w:r w:rsidRPr="00F631FD">
        <w:rPr>
          <w:rFonts w:asciiTheme="minorHAnsi" w:hAnsiTheme="minorHAnsi" w:cstheme="minorHAnsi"/>
          <w:lang w:val="it-IT" w:bidi="it-IT"/>
        </w:rPr>
        <w:t xml:space="preserve"> nell’intera economia.</w:t>
      </w:r>
      <w:r w:rsidR="00935FFA">
        <w:rPr>
          <w:rFonts w:asciiTheme="minorHAnsi" w:hAnsiTheme="minorHAnsi" w:cstheme="minorHAnsi"/>
          <w:lang w:val="it-IT" w:bidi="it-IT"/>
        </w:rPr>
        <w:t xml:space="preserve"> </w:t>
      </w:r>
      <w:r w:rsidR="00935FFA" w:rsidRPr="00A1122A">
        <w:rPr>
          <w:rFonts w:asciiTheme="minorHAnsi" w:hAnsiTheme="minorHAnsi" w:cstheme="minorHAnsi"/>
          <w:lang w:val="it-IT" w:bidi="it-IT"/>
        </w:rPr>
        <w:t>A tale impatto economico si somma anche il gettito IVA «catalizzato» da Lidl</w:t>
      </w:r>
      <w:r w:rsidR="00935FFA">
        <w:rPr>
          <w:rFonts w:asciiTheme="minorHAnsi" w:hAnsiTheme="minorHAnsi" w:cstheme="minorHAnsi"/>
          <w:lang w:val="it-IT" w:bidi="it-IT"/>
        </w:rPr>
        <w:t xml:space="preserve"> </w:t>
      </w:r>
      <w:r w:rsidR="00935FFA" w:rsidRPr="00A1122A">
        <w:rPr>
          <w:rFonts w:asciiTheme="minorHAnsi" w:hAnsiTheme="minorHAnsi" w:cstheme="minorHAnsi"/>
          <w:lang w:val="it-IT" w:bidi="it-IT"/>
        </w:rPr>
        <w:t>per un valore cumulato pari a quasi €800 milioni</w:t>
      </w:r>
      <w:r w:rsidR="00F3023D">
        <w:rPr>
          <w:rFonts w:asciiTheme="minorHAnsi" w:hAnsiTheme="minorHAnsi" w:cstheme="minorHAnsi"/>
          <w:lang w:val="it-IT" w:bidi="it-IT"/>
        </w:rPr>
        <w:t xml:space="preserve">. </w:t>
      </w:r>
    </w:p>
    <w:p w14:paraId="57939A2D" w14:textId="168693E5" w:rsidR="005B24BC" w:rsidRDefault="00A63B4B" w:rsidP="005B24BC">
      <w:pPr>
        <w:jc w:val="both"/>
        <w:rPr>
          <w:rStyle w:val="ui-provider"/>
          <w:i/>
          <w:iCs/>
          <w:lang w:val="it-IT"/>
        </w:rPr>
      </w:pPr>
      <w:r>
        <w:rPr>
          <w:rStyle w:val="ui-provider"/>
          <w:i/>
          <w:iCs/>
          <w:lang w:val="it-IT"/>
        </w:rPr>
        <w:t>“Nel 2022 Lidl ha</w:t>
      </w:r>
      <w:r w:rsidR="005B24BC" w:rsidRPr="005B24BC">
        <w:rPr>
          <w:rStyle w:val="ui-provider"/>
          <w:i/>
          <w:iCs/>
          <w:lang w:val="it-IT"/>
        </w:rPr>
        <w:t xml:space="preserve"> generato ricadute economiche e occupazionali a cascata lungo le filiere, creando un impatto complessivo (tra diretto, indiretto e indotto) sul PIL di €7,2 miliardi, parti allo 0,4% del PIL nazionale. Si tratta, ad esempio, di un dato maggiore del contributo diretto dell’intero settore siderurgico italiano. Inoltre, Lidl ha complessivamente sostenuto 93.800 occupati nell’economia nazionale, un dato superiore a quello dell’intero settore delle telecomunicazioni.”</w:t>
      </w:r>
      <w:r>
        <w:rPr>
          <w:rStyle w:val="ui-provider"/>
          <w:i/>
          <w:iCs/>
          <w:lang w:val="it-IT"/>
        </w:rPr>
        <w:t xml:space="preserve"> </w:t>
      </w:r>
      <w:r w:rsidRPr="00A63B4B">
        <w:rPr>
          <w:rStyle w:val="ui-provider"/>
          <w:lang w:val="it-IT"/>
        </w:rPr>
        <w:t>-</w:t>
      </w:r>
      <w:r>
        <w:rPr>
          <w:rStyle w:val="ui-provider"/>
          <w:i/>
          <w:iCs/>
          <w:lang w:val="it-IT"/>
        </w:rPr>
        <w:t xml:space="preserve"> </w:t>
      </w:r>
      <w:r w:rsidRPr="00A63B4B">
        <w:rPr>
          <w:rStyle w:val="ui-provider"/>
          <w:lang w:val="it-IT"/>
        </w:rPr>
        <w:t xml:space="preserve">commenta </w:t>
      </w:r>
      <w:r w:rsidRPr="00A63B4B">
        <w:rPr>
          <w:rStyle w:val="ui-provider"/>
          <w:b/>
          <w:bCs/>
          <w:lang w:val="it-IT"/>
        </w:rPr>
        <w:t xml:space="preserve">Valerio De Molli, </w:t>
      </w:r>
      <w:proofErr w:type="spellStart"/>
      <w:r w:rsidRPr="00A63B4B">
        <w:rPr>
          <w:rStyle w:val="ui-provider"/>
          <w:b/>
          <w:bCs/>
          <w:lang w:val="it-IT"/>
        </w:rPr>
        <w:t>Managing</w:t>
      </w:r>
      <w:proofErr w:type="spellEnd"/>
      <w:r w:rsidRPr="00A63B4B">
        <w:rPr>
          <w:rStyle w:val="ui-provider"/>
          <w:b/>
          <w:bCs/>
          <w:lang w:val="it-IT"/>
        </w:rPr>
        <w:t xml:space="preserve"> Partner &amp; CEO The </w:t>
      </w:r>
      <w:proofErr w:type="spellStart"/>
      <w:r w:rsidRPr="00A63B4B">
        <w:rPr>
          <w:rStyle w:val="ui-provider"/>
          <w:b/>
          <w:bCs/>
          <w:lang w:val="it-IT"/>
        </w:rPr>
        <w:t>European</w:t>
      </w:r>
      <w:proofErr w:type="spellEnd"/>
      <w:r w:rsidRPr="00A63B4B">
        <w:rPr>
          <w:rStyle w:val="ui-provider"/>
          <w:b/>
          <w:bCs/>
          <w:lang w:val="it-IT"/>
        </w:rPr>
        <w:t xml:space="preserve"> House Ambrosetti</w:t>
      </w:r>
      <w:r>
        <w:rPr>
          <w:rStyle w:val="ui-provider"/>
          <w:i/>
          <w:iCs/>
          <w:lang w:val="it-IT"/>
        </w:rPr>
        <w:t>.</w:t>
      </w:r>
    </w:p>
    <w:p w14:paraId="3FF73BBA" w14:textId="77777777" w:rsidR="00A63B4B" w:rsidRPr="005B24BC" w:rsidRDefault="00A63B4B" w:rsidP="005B24BC">
      <w:pPr>
        <w:jc w:val="both"/>
        <w:rPr>
          <w:rFonts w:ascii="Aptos" w:hAnsi="Aptos"/>
          <w:i/>
          <w:iCs/>
          <w:lang w:val="it-IT" w:eastAsia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6922DD6B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3D4FE1">
        <w:rPr>
          <w:rFonts w:cs="Calibri-Bold"/>
          <w:bCs/>
          <w:color w:val="1F497D" w:themeColor="text2"/>
          <w:sz w:val="18"/>
          <w:szCs w:val="18"/>
          <w:lang w:val="it-IT"/>
        </w:rPr>
        <w:t>750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2</w:t>
      </w:r>
      <w:r w:rsidR="003D4FE1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2DEC1" w14:textId="77777777" w:rsidR="00E434B8" w:rsidRDefault="00E434B8" w:rsidP="003D467C">
      <w:pPr>
        <w:spacing w:after="0" w:line="240" w:lineRule="auto"/>
      </w:pPr>
      <w:r>
        <w:separator/>
      </w:r>
    </w:p>
  </w:endnote>
  <w:endnote w:type="continuationSeparator" w:id="0">
    <w:p w14:paraId="79AE32C5" w14:textId="77777777" w:rsidR="00E434B8" w:rsidRDefault="00E434B8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3D9BF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31BC7" id="Gerade Verbindung 47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FA543" w14:textId="77777777" w:rsidR="00E434B8" w:rsidRDefault="00E434B8" w:rsidP="003D467C">
      <w:pPr>
        <w:spacing w:after="0" w:line="240" w:lineRule="auto"/>
      </w:pPr>
      <w:r>
        <w:separator/>
      </w:r>
    </w:p>
  </w:footnote>
  <w:footnote w:type="continuationSeparator" w:id="0">
    <w:p w14:paraId="71473BA6" w14:textId="77777777" w:rsidR="00E434B8" w:rsidRDefault="00E434B8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D0AC312" w:rsidR="003D467C" w:rsidRDefault="00121E62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2548ADE4">
          <wp:simplePos x="0" y="0"/>
          <wp:positionH relativeFrom="column">
            <wp:posOffset>5039995</wp:posOffset>
          </wp:positionH>
          <wp:positionV relativeFrom="paragraph">
            <wp:posOffset>-184785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272ABD47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1961B9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10EDE86" w:rsidR="004B6791" w:rsidRDefault="005B38C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2218016">
          <wp:simplePos x="0" y="0"/>
          <wp:positionH relativeFrom="column">
            <wp:posOffset>5006340</wp:posOffset>
          </wp:positionH>
          <wp:positionV relativeFrom="paragraph">
            <wp:posOffset>-122555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CD243D8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8BBF9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F0771"/>
    <w:multiLevelType w:val="hybridMultilevel"/>
    <w:tmpl w:val="C3B44C7C"/>
    <w:lvl w:ilvl="0" w:tplc="685E6F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D71BF"/>
    <w:multiLevelType w:val="hybridMultilevel"/>
    <w:tmpl w:val="DDB06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634822244">
    <w:abstractNumId w:val="4"/>
  </w:num>
  <w:num w:numId="2" w16cid:durableId="720985039">
    <w:abstractNumId w:val="4"/>
  </w:num>
  <w:num w:numId="3" w16cid:durableId="1222057615">
    <w:abstractNumId w:val="4"/>
  </w:num>
  <w:num w:numId="4" w16cid:durableId="1425110588">
    <w:abstractNumId w:val="4"/>
  </w:num>
  <w:num w:numId="5" w16cid:durableId="686098680">
    <w:abstractNumId w:val="4"/>
  </w:num>
  <w:num w:numId="6" w16cid:durableId="536160155">
    <w:abstractNumId w:val="4"/>
  </w:num>
  <w:num w:numId="7" w16cid:durableId="1835215772">
    <w:abstractNumId w:val="4"/>
  </w:num>
  <w:num w:numId="8" w16cid:durableId="567762160">
    <w:abstractNumId w:val="4"/>
  </w:num>
  <w:num w:numId="9" w16cid:durableId="1401365032">
    <w:abstractNumId w:val="4"/>
  </w:num>
  <w:num w:numId="10" w16cid:durableId="1983996751">
    <w:abstractNumId w:val="2"/>
  </w:num>
  <w:num w:numId="11" w16cid:durableId="993996899">
    <w:abstractNumId w:val="0"/>
  </w:num>
  <w:num w:numId="12" w16cid:durableId="433862868">
    <w:abstractNumId w:val="3"/>
  </w:num>
  <w:num w:numId="13" w16cid:durableId="1566647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35B59"/>
    <w:rsid w:val="000425DF"/>
    <w:rsid w:val="00047935"/>
    <w:rsid w:val="000575B7"/>
    <w:rsid w:val="000603EC"/>
    <w:rsid w:val="00060C6C"/>
    <w:rsid w:val="00065FC0"/>
    <w:rsid w:val="0007383C"/>
    <w:rsid w:val="00074BA5"/>
    <w:rsid w:val="0007713C"/>
    <w:rsid w:val="000804E6"/>
    <w:rsid w:val="00081340"/>
    <w:rsid w:val="00081A27"/>
    <w:rsid w:val="00084BF1"/>
    <w:rsid w:val="000914C7"/>
    <w:rsid w:val="00095DF9"/>
    <w:rsid w:val="00097602"/>
    <w:rsid w:val="000A198C"/>
    <w:rsid w:val="000A21BD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D55F3"/>
    <w:rsid w:val="000E6341"/>
    <w:rsid w:val="000F1F7A"/>
    <w:rsid w:val="000F67E7"/>
    <w:rsid w:val="0010572B"/>
    <w:rsid w:val="00105C99"/>
    <w:rsid w:val="001103F8"/>
    <w:rsid w:val="00111FD5"/>
    <w:rsid w:val="001167C9"/>
    <w:rsid w:val="00121E62"/>
    <w:rsid w:val="001224FF"/>
    <w:rsid w:val="001228D9"/>
    <w:rsid w:val="001241B5"/>
    <w:rsid w:val="00140B70"/>
    <w:rsid w:val="001437A4"/>
    <w:rsid w:val="00147AAD"/>
    <w:rsid w:val="0015267E"/>
    <w:rsid w:val="00152734"/>
    <w:rsid w:val="00153BC8"/>
    <w:rsid w:val="00171FA8"/>
    <w:rsid w:val="00173B1B"/>
    <w:rsid w:val="001769EB"/>
    <w:rsid w:val="00177431"/>
    <w:rsid w:val="00181A68"/>
    <w:rsid w:val="00182F03"/>
    <w:rsid w:val="0019399C"/>
    <w:rsid w:val="001A07C7"/>
    <w:rsid w:val="001A33F5"/>
    <w:rsid w:val="001A6D41"/>
    <w:rsid w:val="001C2784"/>
    <w:rsid w:val="001C4B74"/>
    <w:rsid w:val="001D3D2E"/>
    <w:rsid w:val="001D47AB"/>
    <w:rsid w:val="001D4E79"/>
    <w:rsid w:val="001D5A0F"/>
    <w:rsid w:val="001D6750"/>
    <w:rsid w:val="001D7609"/>
    <w:rsid w:val="001E0DB3"/>
    <w:rsid w:val="001E28DF"/>
    <w:rsid w:val="001E5219"/>
    <w:rsid w:val="001E57E8"/>
    <w:rsid w:val="001F1D06"/>
    <w:rsid w:val="001F49D8"/>
    <w:rsid w:val="001F4FA7"/>
    <w:rsid w:val="002003B8"/>
    <w:rsid w:val="00200EFB"/>
    <w:rsid w:val="0020497C"/>
    <w:rsid w:val="0020506A"/>
    <w:rsid w:val="00206F17"/>
    <w:rsid w:val="002218D5"/>
    <w:rsid w:val="0022358F"/>
    <w:rsid w:val="002244A1"/>
    <w:rsid w:val="00243CC3"/>
    <w:rsid w:val="00244CA2"/>
    <w:rsid w:val="002451B4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67ED"/>
    <w:rsid w:val="0026716E"/>
    <w:rsid w:val="00275A93"/>
    <w:rsid w:val="002822F1"/>
    <w:rsid w:val="0028454D"/>
    <w:rsid w:val="002861B3"/>
    <w:rsid w:val="00291ED4"/>
    <w:rsid w:val="00294A21"/>
    <w:rsid w:val="00295D53"/>
    <w:rsid w:val="002A0658"/>
    <w:rsid w:val="002A0AA2"/>
    <w:rsid w:val="002A2EA8"/>
    <w:rsid w:val="002B09E0"/>
    <w:rsid w:val="002B149C"/>
    <w:rsid w:val="002B2B76"/>
    <w:rsid w:val="002B77A1"/>
    <w:rsid w:val="002C1ECD"/>
    <w:rsid w:val="002D6A6B"/>
    <w:rsid w:val="002D779A"/>
    <w:rsid w:val="002E526E"/>
    <w:rsid w:val="002F325A"/>
    <w:rsid w:val="002F472A"/>
    <w:rsid w:val="002F516C"/>
    <w:rsid w:val="002F7D39"/>
    <w:rsid w:val="003062A4"/>
    <w:rsid w:val="00310E19"/>
    <w:rsid w:val="00311DB3"/>
    <w:rsid w:val="003160B1"/>
    <w:rsid w:val="00316529"/>
    <w:rsid w:val="003230DC"/>
    <w:rsid w:val="003264D7"/>
    <w:rsid w:val="00337188"/>
    <w:rsid w:val="00340E34"/>
    <w:rsid w:val="00347B7B"/>
    <w:rsid w:val="00362FE4"/>
    <w:rsid w:val="00363AF9"/>
    <w:rsid w:val="00364752"/>
    <w:rsid w:val="0036626B"/>
    <w:rsid w:val="0037317E"/>
    <w:rsid w:val="003747D3"/>
    <w:rsid w:val="00376786"/>
    <w:rsid w:val="0037694A"/>
    <w:rsid w:val="00387336"/>
    <w:rsid w:val="003A03AA"/>
    <w:rsid w:val="003A5FAA"/>
    <w:rsid w:val="003A6AB3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D4FE1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3B54"/>
    <w:rsid w:val="00464F63"/>
    <w:rsid w:val="00475730"/>
    <w:rsid w:val="004772E6"/>
    <w:rsid w:val="0048056B"/>
    <w:rsid w:val="00487BD5"/>
    <w:rsid w:val="004934BF"/>
    <w:rsid w:val="0049612D"/>
    <w:rsid w:val="004A7E11"/>
    <w:rsid w:val="004B0B31"/>
    <w:rsid w:val="004B23B5"/>
    <w:rsid w:val="004B6791"/>
    <w:rsid w:val="004C7FE3"/>
    <w:rsid w:val="004D30BC"/>
    <w:rsid w:val="004D439C"/>
    <w:rsid w:val="004D4E8D"/>
    <w:rsid w:val="004E16C7"/>
    <w:rsid w:val="004E4709"/>
    <w:rsid w:val="004E78E7"/>
    <w:rsid w:val="004E7F76"/>
    <w:rsid w:val="004F4E97"/>
    <w:rsid w:val="0050059B"/>
    <w:rsid w:val="00501770"/>
    <w:rsid w:val="00501859"/>
    <w:rsid w:val="005025CE"/>
    <w:rsid w:val="0050263E"/>
    <w:rsid w:val="00505DAE"/>
    <w:rsid w:val="00511148"/>
    <w:rsid w:val="005236D5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1A00"/>
    <w:rsid w:val="00572298"/>
    <w:rsid w:val="005817EF"/>
    <w:rsid w:val="0058276E"/>
    <w:rsid w:val="00584AD9"/>
    <w:rsid w:val="00586EFE"/>
    <w:rsid w:val="005919F6"/>
    <w:rsid w:val="005A1874"/>
    <w:rsid w:val="005A3096"/>
    <w:rsid w:val="005A5B9B"/>
    <w:rsid w:val="005B24BC"/>
    <w:rsid w:val="005B38C6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0314"/>
    <w:rsid w:val="00672E99"/>
    <w:rsid w:val="00674292"/>
    <w:rsid w:val="006769B5"/>
    <w:rsid w:val="006805C2"/>
    <w:rsid w:val="00685F2D"/>
    <w:rsid w:val="006947AB"/>
    <w:rsid w:val="006A438C"/>
    <w:rsid w:val="006A7843"/>
    <w:rsid w:val="006A7E99"/>
    <w:rsid w:val="006B46A4"/>
    <w:rsid w:val="006B7030"/>
    <w:rsid w:val="006B7AB8"/>
    <w:rsid w:val="006D4394"/>
    <w:rsid w:val="006E42C5"/>
    <w:rsid w:val="006F3DD3"/>
    <w:rsid w:val="006F74B0"/>
    <w:rsid w:val="00704D5B"/>
    <w:rsid w:val="00704DB7"/>
    <w:rsid w:val="00705351"/>
    <w:rsid w:val="007060CE"/>
    <w:rsid w:val="00710089"/>
    <w:rsid w:val="00721FDF"/>
    <w:rsid w:val="00725634"/>
    <w:rsid w:val="00725803"/>
    <w:rsid w:val="00730ED9"/>
    <w:rsid w:val="00733CE1"/>
    <w:rsid w:val="00734391"/>
    <w:rsid w:val="00736098"/>
    <w:rsid w:val="007378DF"/>
    <w:rsid w:val="007400AF"/>
    <w:rsid w:val="0074036A"/>
    <w:rsid w:val="00740F5D"/>
    <w:rsid w:val="00755A3E"/>
    <w:rsid w:val="00764ECB"/>
    <w:rsid w:val="00766453"/>
    <w:rsid w:val="00767921"/>
    <w:rsid w:val="007704E5"/>
    <w:rsid w:val="00770F6B"/>
    <w:rsid w:val="00772C30"/>
    <w:rsid w:val="007773A0"/>
    <w:rsid w:val="007835FD"/>
    <w:rsid w:val="0078417F"/>
    <w:rsid w:val="00791C40"/>
    <w:rsid w:val="00793CFB"/>
    <w:rsid w:val="007942C7"/>
    <w:rsid w:val="00794E37"/>
    <w:rsid w:val="007A1966"/>
    <w:rsid w:val="007A3B10"/>
    <w:rsid w:val="007A3F54"/>
    <w:rsid w:val="007A6C9E"/>
    <w:rsid w:val="007B25DA"/>
    <w:rsid w:val="007B37BB"/>
    <w:rsid w:val="007B71D7"/>
    <w:rsid w:val="007C1315"/>
    <w:rsid w:val="007C2D01"/>
    <w:rsid w:val="007D3D0C"/>
    <w:rsid w:val="007D3DD0"/>
    <w:rsid w:val="007D4A09"/>
    <w:rsid w:val="007D536B"/>
    <w:rsid w:val="007D53DB"/>
    <w:rsid w:val="007E3733"/>
    <w:rsid w:val="007E3AB3"/>
    <w:rsid w:val="007F0678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5707"/>
    <w:rsid w:val="00835F47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2F14"/>
    <w:rsid w:val="008E41DD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35FFA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6D30"/>
    <w:rsid w:val="009E7A37"/>
    <w:rsid w:val="009F0BA9"/>
    <w:rsid w:val="009F0F9F"/>
    <w:rsid w:val="009F5573"/>
    <w:rsid w:val="00A015C7"/>
    <w:rsid w:val="00A0167D"/>
    <w:rsid w:val="00A03374"/>
    <w:rsid w:val="00A03E5D"/>
    <w:rsid w:val="00A07B54"/>
    <w:rsid w:val="00A104F0"/>
    <w:rsid w:val="00A10A49"/>
    <w:rsid w:val="00A10C40"/>
    <w:rsid w:val="00A1122A"/>
    <w:rsid w:val="00A21DFD"/>
    <w:rsid w:val="00A3407A"/>
    <w:rsid w:val="00A433E2"/>
    <w:rsid w:val="00A46B60"/>
    <w:rsid w:val="00A474BA"/>
    <w:rsid w:val="00A5403C"/>
    <w:rsid w:val="00A54D40"/>
    <w:rsid w:val="00A60463"/>
    <w:rsid w:val="00A63B4B"/>
    <w:rsid w:val="00A81A22"/>
    <w:rsid w:val="00A91D97"/>
    <w:rsid w:val="00A96258"/>
    <w:rsid w:val="00A974BF"/>
    <w:rsid w:val="00AA0D98"/>
    <w:rsid w:val="00AA29AA"/>
    <w:rsid w:val="00AB5019"/>
    <w:rsid w:val="00AB5BE4"/>
    <w:rsid w:val="00AB6DD9"/>
    <w:rsid w:val="00AB71BA"/>
    <w:rsid w:val="00AB7F62"/>
    <w:rsid w:val="00AC0669"/>
    <w:rsid w:val="00AC3A65"/>
    <w:rsid w:val="00AD1E32"/>
    <w:rsid w:val="00AD307B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15D3A"/>
    <w:rsid w:val="00B20393"/>
    <w:rsid w:val="00B24737"/>
    <w:rsid w:val="00B306AF"/>
    <w:rsid w:val="00B362AB"/>
    <w:rsid w:val="00B4063B"/>
    <w:rsid w:val="00B458F2"/>
    <w:rsid w:val="00B50B08"/>
    <w:rsid w:val="00B5790C"/>
    <w:rsid w:val="00B618D9"/>
    <w:rsid w:val="00B61A84"/>
    <w:rsid w:val="00B62A01"/>
    <w:rsid w:val="00B62F5B"/>
    <w:rsid w:val="00B64084"/>
    <w:rsid w:val="00B668C1"/>
    <w:rsid w:val="00B67EED"/>
    <w:rsid w:val="00B74901"/>
    <w:rsid w:val="00B76889"/>
    <w:rsid w:val="00B86429"/>
    <w:rsid w:val="00B87654"/>
    <w:rsid w:val="00B87D7E"/>
    <w:rsid w:val="00BA0671"/>
    <w:rsid w:val="00BA1148"/>
    <w:rsid w:val="00BA38A9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1985"/>
    <w:rsid w:val="00BF2955"/>
    <w:rsid w:val="00C05339"/>
    <w:rsid w:val="00C118D7"/>
    <w:rsid w:val="00C13481"/>
    <w:rsid w:val="00C17A71"/>
    <w:rsid w:val="00C20E9A"/>
    <w:rsid w:val="00C249BC"/>
    <w:rsid w:val="00C31681"/>
    <w:rsid w:val="00C3239F"/>
    <w:rsid w:val="00C3464D"/>
    <w:rsid w:val="00C50BDA"/>
    <w:rsid w:val="00C51B2C"/>
    <w:rsid w:val="00C51F22"/>
    <w:rsid w:val="00C65093"/>
    <w:rsid w:val="00C82CA2"/>
    <w:rsid w:val="00C843BC"/>
    <w:rsid w:val="00C852F7"/>
    <w:rsid w:val="00C86991"/>
    <w:rsid w:val="00C8774D"/>
    <w:rsid w:val="00C94B5F"/>
    <w:rsid w:val="00C95D9D"/>
    <w:rsid w:val="00C97A31"/>
    <w:rsid w:val="00CB2007"/>
    <w:rsid w:val="00CB635A"/>
    <w:rsid w:val="00CC7B27"/>
    <w:rsid w:val="00CD6B04"/>
    <w:rsid w:val="00CD7530"/>
    <w:rsid w:val="00CD7684"/>
    <w:rsid w:val="00CE1C60"/>
    <w:rsid w:val="00CE383B"/>
    <w:rsid w:val="00CE406A"/>
    <w:rsid w:val="00CF138B"/>
    <w:rsid w:val="00CF1A14"/>
    <w:rsid w:val="00CF3F80"/>
    <w:rsid w:val="00D0635C"/>
    <w:rsid w:val="00D0699A"/>
    <w:rsid w:val="00D213BD"/>
    <w:rsid w:val="00D22C5C"/>
    <w:rsid w:val="00D27BCE"/>
    <w:rsid w:val="00D31699"/>
    <w:rsid w:val="00D329D4"/>
    <w:rsid w:val="00D35B12"/>
    <w:rsid w:val="00D43C9D"/>
    <w:rsid w:val="00D45AAC"/>
    <w:rsid w:val="00D53813"/>
    <w:rsid w:val="00D57B2C"/>
    <w:rsid w:val="00D6078F"/>
    <w:rsid w:val="00D665C0"/>
    <w:rsid w:val="00D734AF"/>
    <w:rsid w:val="00D75220"/>
    <w:rsid w:val="00D7546B"/>
    <w:rsid w:val="00D8278C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460F"/>
    <w:rsid w:val="00E07D37"/>
    <w:rsid w:val="00E103DF"/>
    <w:rsid w:val="00E17402"/>
    <w:rsid w:val="00E20156"/>
    <w:rsid w:val="00E269C9"/>
    <w:rsid w:val="00E26BD2"/>
    <w:rsid w:val="00E32747"/>
    <w:rsid w:val="00E342E9"/>
    <w:rsid w:val="00E37CF8"/>
    <w:rsid w:val="00E4205F"/>
    <w:rsid w:val="00E434B8"/>
    <w:rsid w:val="00E46CAD"/>
    <w:rsid w:val="00E52299"/>
    <w:rsid w:val="00E539E8"/>
    <w:rsid w:val="00E53EAD"/>
    <w:rsid w:val="00E56355"/>
    <w:rsid w:val="00E5649C"/>
    <w:rsid w:val="00E577E1"/>
    <w:rsid w:val="00E579D7"/>
    <w:rsid w:val="00E630DA"/>
    <w:rsid w:val="00E64F1C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B20"/>
    <w:rsid w:val="00ED20A6"/>
    <w:rsid w:val="00ED229D"/>
    <w:rsid w:val="00EE4F5C"/>
    <w:rsid w:val="00EE6CDC"/>
    <w:rsid w:val="00EF2FB0"/>
    <w:rsid w:val="00EF6391"/>
    <w:rsid w:val="00F00F8F"/>
    <w:rsid w:val="00F01CE9"/>
    <w:rsid w:val="00F027B9"/>
    <w:rsid w:val="00F13AF9"/>
    <w:rsid w:val="00F13B38"/>
    <w:rsid w:val="00F169EF"/>
    <w:rsid w:val="00F16C0E"/>
    <w:rsid w:val="00F17DDA"/>
    <w:rsid w:val="00F2625C"/>
    <w:rsid w:val="00F3023D"/>
    <w:rsid w:val="00F31B6C"/>
    <w:rsid w:val="00F34546"/>
    <w:rsid w:val="00F47C01"/>
    <w:rsid w:val="00F5038E"/>
    <w:rsid w:val="00F631FD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6509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6784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FE6784"/>
    <w:rPr>
      <w:rFonts w:ascii="Calibri" w:eastAsiaTheme="minorHAns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62F5B"/>
    <w:rPr>
      <w:color w:val="800080" w:themeColor="followedHyperlink"/>
      <w:u w:val="single"/>
    </w:rPr>
  </w:style>
  <w:style w:type="character" w:customStyle="1" w:styleId="ui-provider">
    <w:name w:val="ui-provider"/>
    <w:basedOn w:val="Carpredefinitoparagrafo"/>
    <w:rsid w:val="00B62F5B"/>
  </w:style>
  <w:style w:type="character" w:customStyle="1" w:styleId="apple-converted-space">
    <w:name w:val="apple-converted-space"/>
    <w:basedOn w:val="Carpredefinitoparagrafo"/>
    <w:rsid w:val="003A6AB3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32747"/>
    <w:pPr>
      <w:spacing w:after="0" w:line="240" w:lineRule="auto"/>
    </w:pPr>
    <w:rPr>
      <w:rFonts w:ascii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32747"/>
    <w:rPr>
      <w:rFonts w:asciiTheme="minorHAnsi" w:eastAsiaTheme="minorHAnsi" w:hAnsiTheme="minorHAnsi" w:cstheme="minorBidi"/>
      <w:lang w:val="it-IT"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32747"/>
    <w:rPr>
      <w:vertAlign w:val="superscript"/>
    </w:rPr>
  </w:style>
  <w:style w:type="paragraph" w:customStyle="1" w:styleId="Pa3">
    <w:name w:val="Pa3"/>
    <w:basedOn w:val="Default"/>
    <w:next w:val="Default"/>
    <w:uiPriority w:val="99"/>
    <w:rsid w:val="00935FFA"/>
    <w:pPr>
      <w:spacing w:line="20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2006/documentManagement/types"/>
    <ds:schemaRef ds:uri="fcf04dab-dc09-4c96-8051-2bc2fa59da3e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9</cp:revision>
  <cp:lastPrinted>2024-04-30T10:44:00Z</cp:lastPrinted>
  <dcterms:created xsi:type="dcterms:W3CDTF">2024-05-08T07:02:00Z</dcterms:created>
  <dcterms:modified xsi:type="dcterms:W3CDTF">2024-05-09T14:00:00Z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2024-03-06T09:37:17Z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3419d289-7257-45cf-8409-16728ea87277</vt:lpwstr>
  </property>
  <property fmtid="{D5CDD505-2E9C-101B-9397-08002B2CF9AE}" pid="9" name="MSIP_Label_ba5d11a1-6d11-47b2-81cf-3aeca63a1b8f_ContentBits">
    <vt:lpwstr>0</vt:lpwstr>
  </property>
</Properties>
</file>